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2BE58C8D" w14:textId="77777777" w:rsidTr="00CC1ADB">
        <w:tc>
          <w:tcPr>
            <w:tcW w:w="9889" w:type="dxa"/>
            <w:shd w:val="clear" w:color="auto" w:fill="auto"/>
          </w:tcPr>
          <w:p w14:paraId="5FCDE06F" w14:textId="3B125DCA"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0031B4">
              <w:rPr>
                <w:rFonts w:asciiTheme="minorHAnsi" w:hAnsiTheme="minorHAnsi" w:cstheme="minorHAnsi"/>
                <w:sz w:val="34"/>
              </w:rPr>
              <w:t>Tuesday 24 May</w:t>
            </w:r>
            <w:r w:rsidR="00863B45" w:rsidRPr="00B406B1">
              <w:rPr>
                <w:rFonts w:asciiTheme="minorHAnsi" w:hAnsiTheme="minorHAnsi" w:cstheme="minorHAnsi"/>
                <w:sz w:val="34"/>
              </w:rPr>
              <w:t xml:space="preserve"> </w:t>
            </w:r>
            <w:r w:rsidR="003A0A9D" w:rsidRPr="00B406B1">
              <w:rPr>
                <w:rFonts w:asciiTheme="minorHAnsi" w:hAnsiTheme="minorHAnsi" w:cstheme="minorHAnsi"/>
                <w:sz w:val="34"/>
              </w:rPr>
              <w:t>20</w:t>
            </w:r>
            <w:r w:rsidR="00A413EC">
              <w:rPr>
                <w:rFonts w:asciiTheme="minorHAnsi" w:hAnsiTheme="minorHAnsi" w:cstheme="minorHAnsi"/>
                <w:sz w:val="34"/>
              </w:rPr>
              <w:t>2</w:t>
            </w:r>
            <w:r w:rsidR="00A72405">
              <w:rPr>
                <w:rFonts w:asciiTheme="minorHAnsi" w:hAnsiTheme="minorHAnsi" w:cstheme="minorHAnsi"/>
                <w:sz w:val="34"/>
              </w:rPr>
              <w:t>2</w:t>
            </w:r>
          </w:p>
          <w:p w14:paraId="7827DA10" w14:textId="77777777" w:rsidR="00F918FA" w:rsidRPr="00D8287E" w:rsidRDefault="00F918FA" w:rsidP="00D8287E">
            <w:pPr>
              <w:pStyle w:val="Header"/>
              <w:rPr>
                <w:b/>
              </w:rPr>
            </w:pPr>
          </w:p>
        </w:tc>
      </w:tr>
    </w:tbl>
    <w:p w14:paraId="204DD710" w14:textId="77777777" w:rsidR="00F918FA" w:rsidRDefault="00F918FA" w:rsidP="0052545A"/>
    <w:p w14:paraId="6540527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3591"/>
        <w:gridCol w:w="4514"/>
        <w:gridCol w:w="1243"/>
      </w:tblGrid>
      <w:tr w:rsidR="00D8287E" w14:paraId="49E6EEEA" w14:textId="77777777" w:rsidTr="006743F4">
        <w:tc>
          <w:tcPr>
            <w:tcW w:w="10479" w:type="dxa"/>
            <w:gridSpan w:val="4"/>
            <w:hideMark/>
          </w:tcPr>
          <w:p w14:paraId="6FA9386F" w14:textId="77777777" w:rsidR="00D8287E" w:rsidRDefault="00D8287E" w:rsidP="00F918FA">
            <w:pPr>
              <w:rPr>
                <w:b/>
                <w:sz w:val="24"/>
                <w:szCs w:val="24"/>
              </w:rPr>
            </w:pPr>
            <w:r>
              <w:rPr>
                <w:b/>
                <w:sz w:val="24"/>
                <w:szCs w:val="24"/>
              </w:rPr>
              <w:t>IN ATTENDANCE</w:t>
            </w:r>
            <w:r w:rsidR="004B2B04">
              <w:rPr>
                <w:b/>
                <w:sz w:val="24"/>
                <w:szCs w:val="24"/>
              </w:rPr>
              <w:t xml:space="preserve"> ONLINE</w:t>
            </w:r>
          </w:p>
        </w:tc>
      </w:tr>
      <w:tr w:rsidR="00D8287E" w14:paraId="7D6018A9" w14:textId="77777777" w:rsidTr="006743F4">
        <w:trPr>
          <w:trHeight w:val="1206"/>
        </w:trPr>
        <w:tc>
          <w:tcPr>
            <w:tcW w:w="4722" w:type="dxa"/>
            <w:gridSpan w:val="2"/>
            <w:tcBorders>
              <w:top w:val="nil"/>
              <w:left w:val="nil"/>
              <w:bottom w:val="single" w:sz="4" w:space="0" w:color="auto"/>
              <w:right w:val="nil"/>
            </w:tcBorders>
            <w:shd w:val="clear" w:color="auto" w:fill="auto"/>
          </w:tcPr>
          <w:p w14:paraId="3B6852C3" w14:textId="77777777" w:rsidR="00B25D55" w:rsidRPr="009C6451" w:rsidRDefault="00863B45" w:rsidP="00B25D55">
            <w:pPr>
              <w:pStyle w:val="Header"/>
              <w:numPr>
                <w:ilvl w:val="0"/>
                <w:numId w:val="5"/>
              </w:numPr>
              <w:tabs>
                <w:tab w:val="left" w:pos="8712"/>
              </w:tabs>
              <w:ind w:right="-18"/>
              <w:rPr>
                <w:rFonts w:cstheme="minorHAnsi"/>
              </w:rPr>
            </w:pPr>
            <w:r w:rsidRPr="009C6451">
              <w:rPr>
                <w:rFonts w:cstheme="minorHAnsi"/>
              </w:rPr>
              <w:t>Mike McCormick (Chair)</w:t>
            </w:r>
          </w:p>
          <w:p w14:paraId="2C3BCED2" w14:textId="73D46E67" w:rsidR="00D8287E" w:rsidRPr="009C6451" w:rsidRDefault="000031B4" w:rsidP="00F918FA">
            <w:pPr>
              <w:pStyle w:val="Header"/>
              <w:numPr>
                <w:ilvl w:val="0"/>
                <w:numId w:val="5"/>
              </w:numPr>
              <w:tabs>
                <w:tab w:val="left" w:pos="8712"/>
              </w:tabs>
              <w:ind w:right="-18"/>
              <w:rPr>
                <w:rFonts w:cstheme="minorHAnsi"/>
              </w:rPr>
            </w:pPr>
            <w:r>
              <w:rPr>
                <w:rFonts w:cstheme="minorHAnsi"/>
              </w:rPr>
              <w:t>Suzanne Vestri</w:t>
            </w:r>
          </w:p>
          <w:p w14:paraId="0D7A08D0" w14:textId="77777777" w:rsidR="007D5A5C" w:rsidRPr="009C6451" w:rsidRDefault="00B25D55" w:rsidP="00493C77">
            <w:pPr>
              <w:pStyle w:val="Header"/>
              <w:numPr>
                <w:ilvl w:val="0"/>
                <w:numId w:val="5"/>
              </w:numPr>
              <w:tabs>
                <w:tab w:val="left" w:pos="8712"/>
              </w:tabs>
              <w:ind w:right="-18"/>
              <w:rPr>
                <w:rFonts w:cstheme="minorHAnsi"/>
              </w:rPr>
            </w:pPr>
            <w:r w:rsidRPr="009C6451">
              <w:rPr>
                <w:rFonts w:cstheme="minorHAnsi"/>
              </w:rPr>
              <w:t>Lorna Johnston</w:t>
            </w:r>
            <w:r w:rsidR="00493C77" w:rsidRPr="009C6451">
              <w:rPr>
                <w:rFonts w:cstheme="minorHAnsi"/>
              </w:rPr>
              <w:t xml:space="preserve">, </w:t>
            </w:r>
            <w:r w:rsidR="002E7723" w:rsidRPr="009C6451">
              <w:rPr>
                <w:rFonts w:cstheme="minorHAnsi"/>
              </w:rPr>
              <w:t xml:space="preserve">Executive Director &amp; </w:t>
            </w:r>
            <w:r w:rsidR="007D5A5C" w:rsidRPr="009C6451">
              <w:rPr>
                <w:rFonts w:cstheme="minorHAnsi"/>
              </w:rPr>
              <w:t>Accountable Officer</w:t>
            </w:r>
          </w:p>
          <w:p w14:paraId="1DB0C1B9" w14:textId="77777777" w:rsidR="00971E98" w:rsidRPr="009C6451" w:rsidRDefault="00971E98" w:rsidP="00971E98">
            <w:pPr>
              <w:pStyle w:val="Header"/>
              <w:tabs>
                <w:tab w:val="left" w:pos="8712"/>
              </w:tabs>
              <w:ind w:left="360" w:right="-18"/>
              <w:rPr>
                <w:rFonts w:cstheme="minorHAnsi"/>
              </w:rPr>
            </w:pPr>
          </w:p>
        </w:tc>
        <w:tc>
          <w:tcPr>
            <w:tcW w:w="5757" w:type="dxa"/>
            <w:gridSpan w:val="2"/>
            <w:tcBorders>
              <w:top w:val="nil"/>
              <w:left w:val="nil"/>
              <w:bottom w:val="single" w:sz="4" w:space="0" w:color="auto"/>
              <w:right w:val="nil"/>
            </w:tcBorders>
            <w:shd w:val="clear" w:color="auto" w:fill="auto"/>
            <w:hideMark/>
          </w:tcPr>
          <w:p w14:paraId="2104857D" w14:textId="49211A2A" w:rsidR="006D68E2" w:rsidRPr="009C6451" w:rsidRDefault="00BA147A" w:rsidP="003A0A9D">
            <w:pPr>
              <w:pStyle w:val="Header"/>
              <w:numPr>
                <w:ilvl w:val="0"/>
                <w:numId w:val="5"/>
              </w:numPr>
              <w:tabs>
                <w:tab w:val="left" w:pos="8712"/>
              </w:tabs>
              <w:ind w:right="-18"/>
              <w:rPr>
                <w:rFonts w:cstheme="minorHAnsi"/>
              </w:rPr>
            </w:pPr>
            <w:r w:rsidRPr="009C6451">
              <w:rPr>
                <w:rFonts w:cstheme="minorHAnsi"/>
              </w:rPr>
              <w:t>Sarah Nicholson</w:t>
            </w:r>
            <w:r w:rsidR="007D5A5C" w:rsidRPr="009C6451">
              <w:rPr>
                <w:rFonts w:cstheme="minorHAnsi"/>
              </w:rPr>
              <w:t xml:space="preserve">, </w:t>
            </w:r>
            <w:r w:rsidRPr="009C6451">
              <w:rPr>
                <w:rFonts w:cstheme="minorHAnsi"/>
              </w:rPr>
              <w:t>Office</w:t>
            </w:r>
            <w:r w:rsidR="007D5A5C" w:rsidRPr="009C6451">
              <w:rPr>
                <w:rFonts w:cstheme="minorHAnsi"/>
              </w:rPr>
              <w:t xml:space="preserve"> Manage</w:t>
            </w:r>
            <w:r w:rsidR="009C6451" w:rsidRPr="009C6451">
              <w:rPr>
                <w:rFonts w:cstheme="minorHAnsi"/>
              </w:rPr>
              <w:t>r</w:t>
            </w:r>
          </w:p>
          <w:p w14:paraId="2134B067" w14:textId="2174F94E" w:rsidR="00F2454C" w:rsidRPr="00F2454C" w:rsidRDefault="00F2454C" w:rsidP="00141DEA">
            <w:pPr>
              <w:pStyle w:val="Header"/>
              <w:numPr>
                <w:ilvl w:val="0"/>
                <w:numId w:val="5"/>
              </w:numPr>
              <w:tabs>
                <w:tab w:val="left" w:pos="8712"/>
              </w:tabs>
              <w:ind w:right="-18"/>
            </w:pPr>
            <w:r w:rsidRPr="00F2454C">
              <w:t>Claire Gardiner, Senior Audit Manager, Audit Scotland</w:t>
            </w:r>
          </w:p>
        </w:tc>
      </w:tr>
      <w:tr w:rsidR="009004F8" w:rsidRPr="009004F8" w14:paraId="5725101B" w14:textId="77777777" w:rsidTr="006743F4">
        <w:tc>
          <w:tcPr>
            <w:tcW w:w="113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A9F02E7" w14:textId="77777777" w:rsidR="00D8287E" w:rsidRPr="009004F8" w:rsidRDefault="00D8287E" w:rsidP="00F918FA">
            <w:pPr>
              <w:jc w:val="center"/>
              <w:rPr>
                <w:b/>
                <w:sz w:val="24"/>
                <w:szCs w:val="24"/>
              </w:rPr>
            </w:pPr>
            <w:r w:rsidRPr="009004F8">
              <w:rPr>
                <w:b/>
                <w:sz w:val="24"/>
                <w:szCs w:val="24"/>
              </w:rPr>
              <w:t>ITEM</w:t>
            </w:r>
          </w:p>
        </w:tc>
        <w:tc>
          <w:tcPr>
            <w:tcW w:w="81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13F4D54" w14:textId="77777777" w:rsidR="00D8287E" w:rsidRPr="009004F8" w:rsidRDefault="00D8287E" w:rsidP="00F918FA">
            <w:pPr>
              <w:rPr>
                <w:b/>
                <w:sz w:val="24"/>
                <w:szCs w:val="24"/>
              </w:rPr>
            </w:pPr>
            <w:r w:rsidRPr="009004F8">
              <w:rPr>
                <w:b/>
                <w:sz w:val="24"/>
                <w:szCs w:val="24"/>
              </w:rPr>
              <w:t>CONTENT</w:t>
            </w:r>
          </w:p>
        </w:tc>
        <w:tc>
          <w:tcPr>
            <w:tcW w:w="124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486818F" w14:textId="77777777" w:rsidR="00D8287E" w:rsidRPr="009004F8" w:rsidRDefault="00D8287E" w:rsidP="00F918FA">
            <w:pPr>
              <w:jc w:val="center"/>
              <w:rPr>
                <w:b/>
                <w:sz w:val="24"/>
                <w:szCs w:val="24"/>
              </w:rPr>
            </w:pPr>
            <w:r w:rsidRPr="009004F8">
              <w:rPr>
                <w:b/>
                <w:sz w:val="24"/>
                <w:szCs w:val="24"/>
              </w:rPr>
              <w:t>ACTION</w:t>
            </w:r>
          </w:p>
        </w:tc>
      </w:tr>
      <w:tr w:rsidR="00D8287E" w14:paraId="2EF367A7"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E7CEC0" w14:textId="77777777" w:rsidR="00D8287E" w:rsidRDefault="00D8287E" w:rsidP="00F918FA">
            <w:pPr>
              <w:rPr>
                <w:b/>
                <w:sz w:val="24"/>
                <w:szCs w:val="24"/>
              </w:rPr>
            </w:pPr>
            <w:r>
              <w:rPr>
                <w:b/>
                <w:sz w:val="24"/>
                <w:szCs w:val="24"/>
              </w:rPr>
              <w:t>STANDING ITEMS</w:t>
            </w:r>
          </w:p>
        </w:tc>
      </w:tr>
      <w:tr w:rsidR="003A0A9D" w14:paraId="4B59D759" w14:textId="77777777" w:rsidTr="006743F4">
        <w:tc>
          <w:tcPr>
            <w:tcW w:w="1131" w:type="dxa"/>
            <w:tcBorders>
              <w:top w:val="single" w:sz="4" w:space="0" w:color="auto"/>
              <w:left w:val="single" w:sz="4" w:space="0" w:color="auto"/>
              <w:bottom w:val="single" w:sz="4" w:space="0" w:color="auto"/>
              <w:right w:val="single" w:sz="4" w:space="0" w:color="auto"/>
            </w:tcBorders>
          </w:tcPr>
          <w:p w14:paraId="4ADC4B95" w14:textId="77777777" w:rsidR="003A0A9D" w:rsidRPr="00567B64" w:rsidRDefault="003A0A9D" w:rsidP="003A0A9D">
            <w:pPr>
              <w:pStyle w:val="ListParagraph"/>
              <w:numPr>
                <w:ilvl w:val="0"/>
                <w:numId w:val="10"/>
              </w:numPr>
              <w:rPr>
                <w:rFonts w:cstheme="minorHAnsi"/>
              </w:rPr>
            </w:pPr>
          </w:p>
        </w:tc>
        <w:tc>
          <w:tcPr>
            <w:tcW w:w="8105" w:type="dxa"/>
            <w:gridSpan w:val="2"/>
            <w:tcBorders>
              <w:top w:val="single" w:sz="4" w:space="0" w:color="auto"/>
              <w:left w:val="single" w:sz="4" w:space="0" w:color="auto"/>
              <w:bottom w:val="single" w:sz="4" w:space="0" w:color="auto"/>
              <w:right w:val="single" w:sz="4" w:space="0" w:color="auto"/>
            </w:tcBorders>
          </w:tcPr>
          <w:p w14:paraId="004C6BC6"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08205E4A" w14:textId="1829A5FC" w:rsidR="009C6451" w:rsidRDefault="008C4B0B" w:rsidP="00A413EC">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Mr</w:t>
            </w:r>
            <w:r w:rsidR="00863B45">
              <w:rPr>
                <w:rFonts w:asciiTheme="minorHAnsi" w:hAnsiTheme="minorHAnsi" w:cstheme="minorHAnsi"/>
                <w:b w:val="0"/>
                <w:sz w:val="22"/>
                <w:szCs w:val="22"/>
              </w:rPr>
              <w:t xml:space="preserve"> McCormick </w:t>
            </w:r>
            <w:r w:rsidR="00D44FD7" w:rsidRPr="00567B64">
              <w:rPr>
                <w:rFonts w:asciiTheme="minorHAnsi" w:hAnsiTheme="minorHAnsi" w:cstheme="minorHAnsi"/>
                <w:b w:val="0"/>
                <w:sz w:val="22"/>
                <w:szCs w:val="22"/>
              </w:rPr>
              <w:t>welcomed</w:t>
            </w:r>
            <w:r w:rsidR="00D3293A" w:rsidRPr="00567B64">
              <w:rPr>
                <w:rFonts w:asciiTheme="minorHAnsi" w:hAnsiTheme="minorHAnsi" w:cstheme="minorHAnsi"/>
                <w:b w:val="0"/>
                <w:sz w:val="22"/>
                <w:szCs w:val="22"/>
              </w:rPr>
              <w:t xml:space="preserve"> </w:t>
            </w:r>
            <w:r w:rsidR="00510C9B">
              <w:rPr>
                <w:rFonts w:asciiTheme="minorHAnsi" w:hAnsiTheme="minorHAnsi" w:cstheme="minorHAnsi"/>
                <w:b w:val="0"/>
                <w:sz w:val="22"/>
                <w:szCs w:val="22"/>
              </w:rPr>
              <w:t xml:space="preserve">all </w:t>
            </w:r>
            <w:r w:rsidR="00D3293A" w:rsidRPr="00567B64">
              <w:rPr>
                <w:rFonts w:asciiTheme="minorHAnsi" w:hAnsiTheme="minorHAnsi" w:cstheme="minorHAnsi"/>
                <w:b w:val="0"/>
                <w:sz w:val="22"/>
                <w:szCs w:val="22"/>
              </w:rPr>
              <w:t>attendees</w:t>
            </w:r>
            <w:r w:rsidR="00FC3F82">
              <w:rPr>
                <w:rFonts w:asciiTheme="minorHAnsi" w:hAnsiTheme="minorHAnsi" w:cstheme="minorHAnsi"/>
                <w:b w:val="0"/>
                <w:sz w:val="22"/>
                <w:szCs w:val="22"/>
              </w:rPr>
              <w:t>.</w:t>
            </w:r>
            <w:r w:rsidR="00DE0347">
              <w:rPr>
                <w:rFonts w:asciiTheme="minorHAnsi" w:hAnsiTheme="minorHAnsi" w:cstheme="minorHAnsi"/>
                <w:b w:val="0"/>
                <w:sz w:val="22"/>
                <w:szCs w:val="22"/>
              </w:rPr>
              <w:t xml:space="preserve"> </w:t>
            </w:r>
            <w:proofErr w:type="gramStart"/>
            <w:r w:rsidR="00DE0347">
              <w:rPr>
                <w:rFonts w:asciiTheme="minorHAnsi" w:hAnsiTheme="minorHAnsi" w:cstheme="minorHAnsi"/>
                <w:b w:val="0"/>
                <w:sz w:val="22"/>
                <w:szCs w:val="22"/>
              </w:rPr>
              <w:t>In particular, Mr McCormick</w:t>
            </w:r>
            <w:proofErr w:type="gramEnd"/>
            <w:r w:rsidR="00DE0347">
              <w:rPr>
                <w:rFonts w:asciiTheme="minorHAnsi" w:hAnsiTheme="minorHAnsi" w:cstheme="minorHAnsi"/>
                <w:b w:val="0"/>
                <w:sz w:val="22"/>
                <w:szCs w:val="22"/>
              </w:rPr>
              <w:t xml:space="preserve"> welcomed Mrs Vestri to her first meeting.</w:t>
            </w:r>
          </w:p>
          <w:p w14:paraId="6481FFF8" w14:textId="77777777" w:rsidR="009C6451" w:rsidRDefault="009C6451" w:rsidP="00A413EC">
            <w:pPr>
              <w:pStyle w:val="Heading3"/>
              <w:jc w:val="left"/>
              <w:outlineLvl w:val="2"/>
              <w:rPr>
                <w:rFonts w:asciiTheme="minorHAnsi" w:hAnsiTheme="minorHAnsi" w:cstheme="minorHAnsi"/>
                <w:b w:val="0"/>
                <w:sz w:val="22"/>
                <w:szCs w:val="22"/>
              </w:rPr>
            </w:pPr>
          </w:p>
          <w:p w14:paraId="4BEC4E4F" w14:textId="7E2B3E78" w:rsidR="00141DEA" w:rsidRPr="00F2454C" w:rsidRDefault="009C6451" w:rsidP="00141DEA">
            <w:pPr>
              <w:pStyle w:val="Header"/>
              <w:tabs>
                <w:tab w:val="left" w:pos="8712"/>
              </w:tabs>
              <w:ind w:right="-18"/>
              <w:rPr>
                <w:sz w:val="24"/>
                <w:szCs w:val="24"/>
              </w:rPr>
            </w:pPr>
            <w:r>
              <w:rPr>
                <w:rFonts w:cstheme="minorHAnsi"/>
              </w:rPr>
              <w:t>A</w:t>
            </w:r>
            <w:r w:rsidR="00863B45">
              <w:rPr>
                <w:rFonts w:cstheme="minorHAnsi"/>
              </w:rPr>
              <w:t>polog</w:t>
            </w:r>
            <w:r w:rsidR="0040099B">
              <w:rPr>
                <w:rFonts w:cstheme="minorHAnsi"/>
              </w:rPr>
              <w:t xml:space="preserve">ies </w:t>
            </w:r>
            <w:r w:rsidR="00863B45">
              <w:rPr>
                <w:rFonts w:cstheme="minorHAnsi"/>
              </w:rPr>
              <w:t>for absence</w:t>
            </w:r>
            <w:r w:rsidRPr="009C6451">
              <w:rPr>
                <w:rFonts w:cstheme="minorHAnsi"/>
              </w:rPr>
              <w:t xml:space="preserve"> were rece</w:t>
            </w:r>
            <w:r>
              <w:rPr>
                <w:rFonts w:cstheme="minorHAnsi"/>
              </w:rPr>
              <w:t>iv</w:t>
            </w:r>
            <w:r w:rsidRPr="009C6451">
              <w:rPr>
                <w:rFonts w:cstheme="minorHAnsi"/>
              </w:rPr>
              <w:t xml:space="preserve">ed </w:t>
            </w:r>
            <w:r w:rsidRPr="00141DEA">
              <w:rPr>
                <w:rFonts w:cstheme="minorHAnsi"/>
              </w:rPr>
              <w:t xml:space="preserve">from </w:t>
            </w:r>
            <w:r w:rsidR="00141DEA" w:rsidRPr="00141DEA">
              <w:rPr>
                <w:rFonts w:cstheme="minorHAnsi"/>
              </w:rPr>
              <w:t>Andrew Munro,</w:t>
            </w:r>
            <w:r w:rsidR="00141DEA" w:rsidRPr="009C6451">
              <w:rPr>
                <w:rFonts w:cstheme="minorHAnsi"/>
              </w:rPr>
              <w:t xml:space="preserve"> Head of </w:t>
            </w:r>
            <w:r w:rsidR="00141DEA">
              <w:rPr>
                <w:rFonts w:cstheme="minorHAnsi"/>
              </w:rPr>
              <w:t>Interna</w:t>
            </w:r>
            <w:bookmarkStart w:id="0" w:name="_GoBack"/>
            <w:bookmarkEnd w:id="0"/>
            <w:r w:rsidR="00141DEA">
              <w:rPr>
                <w:rFonts w:cstheme="minorHAnsi"/>
              </w:rPr>
              <w:t xml:space="preserve">l </w:t>
            </w:r>
            <w:r w:rsidR="00141DEA" w:rsidRPr="009C6451">
              <w:rPr>
                <w:rFonts w:cstheme="minorHAnsi"/>
              </w:rPr>
              <w:t>Audit</w:t>
            </w:r>
            <w:r w:rsidR="00141DEA">
              <w:rPr>
                <w:rFonts w:cstheme="minorHAnsi"/>
              </w:rPr>
              <w:t xml:space="preserve"> &amp; Risk</w:t>
            </w:r>
            <w:r w:rsidR="00141DEA" w:rsidRPr="009C6451">
              <w:rPr>
                <w:rFonts w:cstheme="minorHAnsi"/>
              </w:rPr>
              <w:t xml:space="preserve">, Scottish Parliament </w:t>
            </w:r>
            <w:r w:rsidR="00141DEA">
              <w:rPr>
                <w:rFonts w:cstheme="minorHAnsi"/>
              </w:rPr>
              <w:t>and Steve Robb, Financial Accountant, Scottish Parliament.</w:t>
            </w:r>
          </w:p>
          <w:p w14:paraId="3EEA9558" w14:textId="77777777" w:rsidR="00D3293A" w:rsidRPr="00567B64" w:rsidRDefault="00D3293A" w:rsidP="00A413EC"/>
          <w:p w14:paraId="48702791" w14:textId="77777777"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11AAC67C"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243" w:type="dxa"/>
            <w:tcBorders>
              <w:top w:val="single" w:sz="4" w:space="0" w:color="auto"/>
              <w:left w:val="single" w:sz="4" w:space="0" w:color="auto"/>
              <w:bottom w:val="single" w:sz="4" w:space="0" w:color="auto"/>
              <w:right w:val="single" w:sz="4" w:space="0" w:color="auto"/>
            </w:tcBorders>
          </w:tcPr>
          <w:p w14:paraId="5F8D5099" w14:textId="77777777" w:rsidR="003A0A9D" w:rsidRPr="004B469B" w:rsidRDefault="003A0A9D" w:rsidP="001B716A">
            <w:pPr>
              <w:jc w:val="center"/>
              <w:rPr>
                <w:rFonts w:cstheme="minorHAnsi"/>
                <w:b/>
                <w:highlight w:val="yellow"/>
              </w:rPr>
            </w:pPr>
          </w:p>
        </w:tc>
      </w:tr>
      <w:tr w:rsidR="003A0A9D" w14:paraId="78B98057" w14:textId="77777777" w:rsidTr="006743F4">
        <w:tc>
          <w:tcPr>
            <w:tcW w:w="1131" w:type="dxa"/>
            <w:tcBorders>
              <w:top w:val="single" w:sz="4" w:space="0" w:color="auto"/>
              <w:left w:val="single" w:sz="4" w:space="0" w:color="auto"/>
              <w:bottom w:val="single" w:sz="4" w:space="0" w:color="auto"/>
              <w:right w:val="single" w:sz="4" w:space="0" w:color="auto"/>
            </w:tcBorders>
          </w:tcPr>
          <w:p w14:paraId="50A73C09" w14:textId="77777777" w:rsidR="003A0A9D" w:rsidRPr="00D44FD7" w:rsidRDefault="003A0A9D" w:rsidP="003A0A9D">
            <w:pPr>
              <w:pStyle w:val="ListParagraph"/>
              <w:numPr>
                <w:ilvl w:val="0"/>
                <w:numId w:val="10"/>
              </w:numPr>
              <w:rPr>
                <w:rFonts w:cstheme="minorHAnsi"/>
              </w:rPr>
            </w:pPr>
          </w:p>
        </w:tc>
        <w:tc>
          <w:tcPr>
            <w:tcW w:w="8105" w:type="dxa"/>
            <w:gridSpan w:val="2"/>
            <w:tcBorders>
              <w:top w:val="single" w:sz="4" w:space="0" w:color="auto"/>
              <w:left w:val="single" w:sz="4" w:space="0" w:color="auto"/>
              <w:bottom w:val="single" w:sz="4" w:space="0" w:color="auto"/>
              <w:right w:val="single" w:sz="4" w:space="0" w:color="auto"/>
            </w:tcBorders>
          </w:tcPr>
          <w:p w14:paraId="3AB702C8" w14:textId="77777777" w:rsidR="003A0A9D" w:rsidRPr="00D44FD7" w:rsidRDefault="003A0A9D" w:rsidP="00A413EC">
            <w:pPr>
              <w:ind w:firstLine="11"/>
              <w:rPr>
                <w:rFonts w:cstheme="minorHAnsi"/>
                <w:b/>
              </w:rPr>
            </w:pPr>
            <w:r w:rsidRPr="00D44FD7">
              <w:rPr>
                <w:rFonts w:cstheme="minorHAnsi"/>
                <w:b/>
              </w:rPr>
              <w:t>DRAFT MINUTE OF PREVIOUS MEETING</w:t>
            </w:r>
          </w:p>
          <w:p w14:paraId="19F28082" w14:textId="540A518A" w:rsidR="005A2832" w:rsidRPr="00D44FD7" w:rsidRDefault="005E2619" w:rsidP="00A413EC">
            <w:pPr>
              <w:jc w:val="both"/>
            </w:pPr>
            <w:r>
              <w:t>T</w:t>
            </w:r>
            <w:r w:rsidR="0021293B" w:rsidRPr="00D44FD7">
              <w:t>he d</w:t>
            </w:r>
            <w:r w:rsidR="003A0A9D" w:rsidRPr="00D44FD7">
              <w:t>ra</w:t>
            </w:r>
            <w:r w:rsidR="00D44FD7" w:rsidRPr="00D44FD7">
              <w:t xml:space="preserve">ft </w:t>
            </w:r>
            <w:r w:rsidR="002E6560">
              <w:t>minutes of</w:t>
            </w:r>
            <w:r w:rsidR="00D44FD7" w:rsidRPr="00D44FD7">
              <w:t xml:space="preserve"> the meeting </w:t>
            </w:r>
            <w:r w:rsidR="003A0A9D" w:rsidRPr="00D44FD7">
              <w:t xml:space="preserve">on </w:t>
            </w:r>
            <w:r w:rsidR="00FF714F">
              <w:t>26 January 2022</w:t>
            </w:r>
            <w:r w:rsidR="00863B45">
              <w:t xml:space="preserve"> </w:t>
            </w:r>
            <w:r w:rsidR="002E6560">
              <w:t>were</w:t>
            </w:r>
            <w:r w:rsidR="00863B45">
              <w:t xml:space="preserve"> </w:t>
            </w:r>
            <w:r w:rsidR="006D1FF5" w:rsidRPr="00D44FD7">
              <w:t>approved</w:t>
            </w:r>
            <w:r w:rsidR="003A0A9D" w:rsidRPr="00D44FD7">
              <w:t>.</w:t>
            </w:r>
          </w:p>
          <w:p w14:paraId="0738CA81" w14:textId="77777777" w:rsidR="003A0A9D" w:rsidRPr="00D44FD7" w:rsidRDefault="005A2832" w:rsidP="00A413EC">
            <w:pPr>
              <w:jc w:val="both"/>
              <w:rPr>
                <w:rFonts w:cstheme="minorHAnsi"/>
              </w:rPr>
            </w:pPr>
            <w:r w:rsidRPr="00D44FD7">
              <w:rPr>
                <w:rFonts w:cstheme="minorHAnsi"/>
              </w:rPr>
              <w:t xml:space="preserve"> </w:t>
            </w:r>
          </w:p>
        </w:tc>
        <w:tc>
          <w:tcPr>
            <w:tcW w:w="1243" w:type="dxa"/>
            <w:tcBorders>
              <w:top w:val="single" w:sz="4" w:space="0" w:color="auto"/>
              <w:left w:val="single" w:sz="4" w:space="0" w:color="auto"/>
              <w:bottom w:val="single" w:sz="4" w:space="0" w:color="auto"/>
              <w:right w:val="single" w:sz="4" w:space="0" w:color="auto"/>
            </w:tcBorders>
          </w:tcPr>
          <w:p w14:paraId="28BD7116" w14:textId="77777777" w:rsidR="003A0A9D" w:rsidRDefault="003A0A9D" w:rsidP="001B716A">
            <w:pPr>
              <w:jc w:val="center"/>
              <w:rPr>
                <w:rFonts w:cstheme="minorHAnsi"/>
                <w:b/>
                <w:highlight w:val="yellow"/>
              </w:rPr>
            </w:pPr>
          </w:p>
          <w:p w14:paraId="06A811A4" w14:textId="77777777" w:rsidR="00D40F95" w:rsidRPr="004B469B" w:rsidRDefault="00D40F95" w:rsidP="001B716A">
            <w:pPr>
              <w:jc w:val="center"/>
              <w:rPr>
                <w:rFonts w:cstheme="minorHAnsi"/>
                <w:b/>
                <w:highlight w:val="yellow"/>
              </w:rPr>
            </w:pPr>
          </w:p>
        </w:tc>
      </w:tr>
      <w:tr w:rsidR="003A0A9D" w14:paraId="219ED490" w14:textId="77777777" w:rsidTr="006743F4">
        <w:trPr>
          <w:trHeight w:val="787"/>
        </w:trPr>
        <w:tc>
          <w:tcPr>
            <w:tcW w:w="1131" w:type="dxa"/>
            <w:tcBorders>
              <w:top w:val="single" w:sz="4" w:space="0" w:color="auto"/>
              <w:left w:val="single" w:sz="4" w:space="0" w:color="auto"/>
              <w:bottom w:val="single" w:sz="4" w:space="0" w:color="auto"/>
              <w:right w:val="single" w:sz="4" w:space="0" w:color="auto"/>
            </w:tcBorders>
          </w:tcPr>
          <w:p w14:paraId="7F7D798B" w14:textId="77777777" w:rsidR="003A0A9D" w:rsidRPr="00D44FD7" w:rsidRDefault="003A0A9D" w:rsidP="003A0A9D">
            <w:pPr>
              <w:pStyle w:val="ListParagraph"/>
              <w:numPr>
                <w:ilvl w:val="0"/>
                <w:numId w:val="10"/>
              </w:numPr>
              <w:rPr>
                <w:rFonts w:cstheme="minorHAnsi"/>
              </w:rPr>
            </w:pPr>
          </w:p>
        </w:tc>
        <w:tc>
          <w:tcPr>
            <w:tcW w:w="8105" w:type="dxa"/>
            <w:gridSpan w:val="2"/>
            <w:tcBorders>
              <w:top w:val="single" w:sz="4" w:space="0" w:color="auto"/>
              <w:left w:val="single" w:sz="4" w:space="0" w:color="auto"/>
              <w:bottom w:val="single" w:sz="4" w:space="0" w:color="auto"/>
              <w:right w:val="single" w:sz="4" w:space="0" w:color="auto"/>
            </w:tcBorders>
          </w:tcPr>
          <w:p w14:paraId="0BACD817" w14:textId="77777777" w:rsidR="003A0A9D" w:rsidRPr="00D44FD7" w:rsidRDefault="003A0A9D" w:rsidP="00A413EC">
            <w:pPr>
              <w:rPr>
                <w:rFonts w:cstheme="minorHAnsi"/>
                <w:b/>
              </w:rPr>
            </w:pPr>
            <w:r w:rsidRPr="00D44FD7">
              <w:rPr>
                <w:rFonts w:cstheme="minorHAnsi"/>
                <w:b/>
              </w:rPr>
              <w:t>MATTERS ARISING</w:t>
            </w:r>
          </w:p>
          <w:p w14:paraId="00EA90F3" w14:textId="7BCEE96A" w:rsidR="004324CE" w:rsidRPr="00A413EC" w:rsidRDefault="00750881" w:rsidP="00FF714F">
            <w:pPr>
              <w:jc w:val="both"/>
            </w:pPr>
            <w:r w:rsidRPr="00750881">
              <w:t xml:space="preserve">The Committee noted </w:t>
            </w:r>
            <w:r w:rsidR="004B2B04">
              <w:t>th</w:t>
            </w:r>
            <w:r w:rsidR="00BA147A">
              <w:t>at</w:t>
            </w:r>
            <w:r w:rsidR="004B2B04">
              <w:t xml:space="preserve"> </w:t>
            </w:r>
            <w:r w:rsidR="00BA147A">
              <w:t>there were no</w:t>
            </w:r>
            <w:r w:rsidR="004B2B04">
              <w:t xml:space="preserve"> outstanding matter</w:t>
            </w:r>
            <w:r w:rsidR="00BA147A">
              <w:t>s.</w:t>
            </w:r>
            <w:r w:rsidR="009C6451">
              <w:t xml:space="preserve"> </w:t>
            </w:r>
          </w:p>
        </w:tc>
        <w:tc>
          <w:tcPr>
            <w:tcW w:w="1243" w:type="dxa"/>
            <w:tcBorders>
              <w:top w:val="single" w:sz="4" w:space="0" w:color="auto"/>
              <w:left w:val="single" w:sz="4" w:space="0" w:color="auto"/>
              <w:bottom w:val="single" w:sz="4" w:space="0" w:color="auto"/>
              <w:right w:val="single" w:sz="4" w:space="0" w:color="auto"/>
            </w:tcBorders>
          </w:tcPr>
          <w:p w14:paraId="41C75C4C" w14:textId="77777777" w:rsidR="00A55F9A" w:rsidRDefault="00A55F9A" w:rsidP="001B716A">
            <w:pPr>
              <w:jc w:val="center"/>
              <w:rPr>
                <w:rFonts w:cstheme="minorHAnsi"/>
                <w:b/>
                <w:highlight w:val="yellow"/>
              </w:rPr>
            </w:pPr>
          </w:p>
          <w:p w14:paraId="0159E15A" w14:textId="77777777" w:rsidR="004B2B04" w:rsidRDefault="004B2B04" w:rsidP="004B2B04">
            <w:pPr>
              <w:rPr>
                <w:rFonts w:cstheme="minorHAnsi"/>
                <w:b/>
                <w:highlight w:val="yellow"/>
              </w:rPr>
            </w:pPr>
          </w:p>
          <w:p w14:paraId="7026F556" w14:textId="77777777" w:rsidR="004B2B04" w:rsidRPr="004B469B" w:rsidRDefault="004B2B04" w:rsidP="004B2B04">
            <w:pPr>
              <w:rPr>
                <w:rFonts w:cstheme="minorHAnsi"/>
                <w:b/>
                <w:highlight w:val="yellow"/>
              </w:rPr>
            </w:pPr>
          </w:p>
        </w:tc>
      </w:tr>
      <w:tr w:rsidR="00EB5179" w:rsidRPr="003F36E4" w14:paraId="64B9EF83"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4D621D" w14:textId="446391BD" w:rsidR="00EB5179" w:rsidRPr="004B469B" w:rsidRDefault="00FF714F" w:rsidP="00B62F09">
            <w:pPr>
              <w:rPr>
                <w:rFonts w:cstheme="minorHAnsi"/>
                <w:b/>
                <w:highlight w:val="yellow"/>
              </w:rPr>
            </w:pPr>
            <w:r>
              <w:rPr>
                <w:rFonts w:cstheme="minorHAnsi"/>
                <w:b/>
                <w:sz w:val="24"/>
              </w:rPr>
              <w:t>RISK REGISTER</w:t>
            </w:r>
            <w:r w:rsidR="006743F4">
              <w:rPr>
                <w:rFonts w:cstheme="minorHAnsi"/>
                <w:b/>
                <w:sz w:val="24"/>
              </w:rPr>
              <w:t xml:space="preserve"> 2022/23</w:t>
            </w:r>
          </w:p>
        </w:tc>
      </w:tr>
      <w:tr w:rsidR="00EB5179" w14:paraId="6166969D" w14:textId="77777777" w:rsidTr="006743F4">
        <w:tc>
          <w:tcPr>
            <w:tcW w:w="1131" w:type="dxa"/>
            <w:tcBorders>
              <w:top w:val="single" w:sz="4" w:space="0" w:color="auto"/>
              <w:left w:val="single" w:sz="4" w:space="0" w:color="auto"/>
              <w:bottom w:val="single" w:sz="4" w:space="0" w:color="auto"/>
              <w:right w:val="single" w:sz="4" w:space="0" w:color="auto"/>
            </w:tcBorders>
          </w:tcPr>
          <w:p w14:paraId="4C2673E5" w14:textId="77777777" w:rsidR="00EB5179" w:rsidRPr="001B716A" w:rsidRDefault="00EB5179" w:rsidP="001B716A">
            <w:pPr>
              <w:pStyle w:val="ListParagraph"/>
              <w:numPr>
                <w:ilvl w:val="0"/>
                <w:numId w:val="10"/>
              </w:numPr>
              <w:rPr>
                <w:rFonts w:cstheme="minorHAnsi"/>
              </w:rPr>
            </w:pPr>
          </w:p>
        </w:tc>
        <w:tc>
          <w:tcPr>
            <w:tcW w:w="8105" w:type="dxa"/>
            <w:gridSpan w:val="2"/>
            <w:tcBorders>
              <w:top w:val="single" w:sz="4" w:space="0" w:color="auto"/>
              <w:left w:val="single" w:sz="4" w:space="0" w:color="auto"/>
              <w:bottom w:val="single" w:sz="4" w:space="0" w:color="auto"/>
              <w:right w:val="single" w:sz="4" w:space="0" w:color="auto"/>
            </w:tcBorders>
          </w:tcPr>
          <w:p w14:paraId="4CC8B4BE" w14:textId="57430B29" w:rsidR="006743F4" w:rsidRDefault="006743F4" w:rsidP="00ED684B">
            <w:pPr>
              <w:jc w:val="both"/>
              <w:rPr>
                <w:rFonts w:cstheme="minorHAnsi"/>
              </w:rPr>
            </w:pPr>
            <w:r w:rsidRPr="008630A6">
              <w:rPr>
                <w:rFonts w:cstheme="minorHAnsi"/>
              </w:rPr>
              <w:t>The Committee reviewed the contents of the Risk Register and agreed to recommend to the Standards Commission that:</w:t>
            </w:r>
          </w:p>
          <w:p w14:paraId="70F9F210" w14:textId="24C89506" w:rsidR="00941CAC" w:rsidRDefault="00941CAC" w:rsidP="00801A76">
            <w:pPr>
              <w:pStyle w:val="ListParagraph"/>
              <w:numPr>
                <w:ilvl w:val="0"/>
                <w:numId w:val="34"/>
              </w:numPr>
              <w:ind w:left="457" w:hanging="425"/>
              <w:jc w:val="both"/>
              <w:rPr>
                <w:rFonts w:cstheme="minorHAnsi"/>
              </w:rPr>
            </w:pPr>
            <w:r w:rsidRPr="00871C1F">
              <w:rPr>
                <w:rFonts w:cstheme="minorHAnsi"/>
              </w:rPr>
              <w:t xml:space="preserve">The probability score for risk two be reduced from a 3 to a 2, with the overall score decreasing from 12 to 8, </w:t>
            </w:r>
            <w:proofErr w:type="gramStart"/>
            <w:r w:rsidRPr="00871C1F">
              <w:rPr>
                <w:rFonts w:cstheme="minorHAnsi"/>
              </w:rPr>
              <w:t>in light of</w:t>
            </w:r>
            <w:proofErr w:type="gramEnd"/>
            <w:r w:rsidRPr="00871C1F">
              <w:rPr>
                <w:rFonts w:cstheme="minorHAnsi"/>
              </w:rPr>
              <w:t xml:space="preserve"> discussions wi</w:t>
            </w:r>
            <w:r>
              <w:rPr>
                <w:rFonts w:cstheme="minorHAnsi"/>
              </w:rPr>
              <w:t>t</w:t>
            </w:r>
            <w:r w:rsidRPr="00871C1F">
              <w:rPr>
                <w:rFonts w:cstheme="minorHAnsi"/>
              </w:rPr>
              <w:t xml:space="preserve">h the Acting </w:t>
            </w:r>
            <w:r w:rsidR="00801A76">
              <w:rPr>
                <w:rFonts w:cstheme="minorHAnsi"/>
              </w:rPr>
              <w:t>Ethical Standards Commissioner (ESC)</w:t>
            </w:r>
            <w:r w:rsidRPr="00871C1F">
              <w:rPr>
                <w:rFonts w:cstheme="minorHAnsi"/>
              </w:rPr>
              <w:t xml:space="preserve"> about the probability of the recommendation being actioned</w:t>
            </w:r>
            <w:r>
              <w:rPr>
                <w:rFonts w:cstheme="minorHAnsi"/>
              </w:rPr>
              <w:t>;</w:t>
            </w:r>
          </w:p>
          <w:p w14:paraId="3FC850F4" w14:textId="77777777" w:rsidR="00941CAC" w:rsidRDefault="00941CAC" w:rsidP="00801A76">
            <w:pPr>
              <w:pStyle w:val="ListParagraph"/>
              <w:numPr>
                <w:ilvl w:val="0"/>
                <w:numId w:val="34"/>
              </w:numPr>
              <w:ind w:left="457" w:hanging="425"/>
              <w:jc w:val="both"/>
              <w:rPr>
                <w:rFonts w:cstheme="minorHAnsi"/>
              </w:rPr>
            </w:pPr>
            <w:r w:rsidRPr="00871C1F">
              <w:rPr>
                <w:rFonts w:cstheme="minorHAnsi"/>
              </w:rPr>
              <w:t xml:space="preserve">The probability score for risk </w:t>
            </w:r>
            <w:r>
              <w:rPr>
                <w:rFonts w:cstheme="minorHAnsi"/>
              </w:rPr>
              <w:t>four</w:t>
            </w:r>
            <w:r w:rsidRPr="00871C1F">
              <w:rPr>
                <w:rFonts w:cstheme="minorHAnsi"/>
              </w:rPr>
              <w:t xml:space="preserve"> be reduced from a </w:t>
            </w:r>
            <w:r>
              <w:rPr>
                <w:rFonts w:cstheme="minorHAnsi"/>
              </w:rPr>
              <w:t>4</w:t>
            </w:r>
            <w:r w:rsidRPr="00871C1F">
              <w:rPr>
                <w:rFonts w:cstheme="minorHAnsi"/>
              </w:rPr>
              <w:t xml:space="preserve"> to a </w:t>
            </w:r>
            <w:r>
              <w:rPr>
                <w:rFonts w:cstheme="minorHAnsi"/>
              </w:rPr>
              <w:t>1</w:t>
            </w:r>
            <w:r w:rsidRPr="00871C1F">
              <w:rPr>
                <w:rFonts w:cstheme="minorHAnsi"/>
              </w:rPr>
              <w:t xml:space="preserve">, with the overall score decreasing from </w:t>
            </w:r>
            <w:r>
              <w:rPr>
                <w:rFonts w:cstheme="minorHAnsi"/>
              </w:rPr>
              <w:t>8</w:t>
            </w:r>
            <w:r w:rsidRPr="00871C1F">
              <w:rPr>
                <w:rFonts w:cstheme="minorHAnsi"/>
              </w:rPr>
              <w:t xml:space="preserve"> to </w:t>
            </w:r>
            <w:r>
              <w:rPr>
                <w:rFonts w:cstheme="minorHAnsi"/>
              </w:rPr>
              <w:t>4. This is because while the Standards Commission lost the appeal, the Court upheld the decision to disqualify;</w:t>
            </w:r>
          </w:p>
          <w:p w14:paraId="02D6698D" w14:textId="77777777" w:rsidR="00941CAC" w:rsidRDefault="00941CAC" w:rsidP="00801A76">
            <w:pPr>
              <w:pStyle w:val="ListParagraph"/>
              <w:numPr>
                <w:ilvl w:val="0"/>
                <w:numId w:val="34"/>
              </w:numPr>
              <w:ind w:left="457" w:hanging="425"/>
              <w:jc w:val="both"/>
              <w:rPr>
                <w:rFonts w:cstheme="minorHAnsi"/>
              </w:rPr>
            </w:pPr>
            <w:r w:rsidRPr="00871C1F">
              <w:rPr>
                <w:rFonts w:cstheme="minorHAnsi"/>
              </w:rPr>
              <w:t xml:space="preserve">The probability score for risk </w:t>
            </w:r>
            <w:r>
              <w:rPr>
                <w:rFonts w:cstheme="minorHAnsi"/>
              </w:rPr>
              <w:t>six</w:t>
            </w:r>
            <w:r w:rsidRPr="00871C1F">
              <w:rPr>
                <w:rFonts w:cstheme="minorHAnsi"/>
              </w:rPr>
              <w:t xml:space="preserve"> be reduced from a 3 to a 2, with the overall score decreasing from 12 to 8, </w:t>
            </w:r>
            <w:proofErr w:type="gramStart"/>
            <w:r w:rsidRPr="00871C1F">
              <w:rPr>
                <w:rFonts w:cstheme="minorHAnsi"/>
              </w:rPr>
              <w:t>in light of</w:t>
            </w:r>
            <w:proofErr w:type="gramEnd"/>
            <w:r w:rsidRPr="00871C1F">
              <w:rPr>
                <w:rFonts w:cstheme="minorHAnsi"/>
              </w:rPr>
              <w:t xml:space="preserve"> discussions </w:t>
            </w:r>
            <w:r>
              <w:rPr>
                <w:rFonts w:cstheme="minorHAnsi"/>
              </w:rPr>
              <w:t>Officeholder Services about the recruitment of new Members and willingness of the Acting ESC to provide information about when cases are likely to be referred; and</w:t>
            </w:r>
          </w:p>
          <w:p w14:paraId="769BEF94" w14:textId="77777777" w:rsidR="00941CAC" w:rsidRDefault="00941CAC" w:rsidP="00801A76">
            <w:pPr>
              <w:pStyle w:val="ListParagraph"/>
              <w:numPr>
                <w:ilvl w:val="0"/>
                <w:numId w:val="34"/>
              </w:numPr>
              <w:ind w:left="457" w:hanging="425"/>
              <w:jc w:val="both"/>
              <w:rPr>
                <w:rFonts w:cstheme="minorHAnsi"/>
              </w:rPr>
            </w:pPr>
            <w:r>
              <w:rPr>
                <w:rFonts w:cstheme="minorHAnsi"/>
              </w:rPr>
              <w:t>The overall risk score for risk seven remains at 16 until amount of expenses for which the Standards Commission is liable is known.</w:t>
            </w:r>
          </w:p>
          <w:p w14:paraId="51EB3148" w14:textId="1F8CFCA1" w:rsidR="00F7546F" w:rsidRDefault="00F7546F" w:rsidP="00ED684B">
            <w:pPr>
              <w:jc w:val="both"/>
              <w:rPr>
                <w:rFonts w:cstheme="minorHAnsi"/>
              </w:rPr>
            </w:pPr>
          </w:p>
          <w:p w14:paraId="71346C66" w14:textId="34511A35" w:rsidR="00BB20EE" w:rsidRDefault="005E0BEF" w:rsidP="006743F4">
            <w:pPr>
              <w:jc w:val="both"/>
              <w:rPr>
                <w:rFonts w:cstheme="minorHAnsi"/>
              </w:rPr>
            </w:pPr>
            <w:r>
              <w:rPr>
                <w:rFonts w:cstheme="minorHAnsi"/>
              </w:rPr>
              <w:t>The Committee asked the Executive Team to make the proposed amendments, via track changes, for consideration by the Standards Commission at its meeting on 30 May 2022.</w:t>
            </w:r>
          </w:p>
          <w:p w14:paraId="10978EE4" w14:textId="036267CA" w:rsidR="005E0BEF" w:rsidRPr="00493D01" w:rsidRDefault="005E0BEF" w:rsidP="006743F4">
            <w:pPr>
              <w:jc w:val="both"/>
              <w:rPr>
                <w:rFonts w:cstheme="minorHAnsi"/>
              </w:rPr>
            </w:pPr>
          </w:p>
        </w:tc>
        <w:tc>
          <w:tcPr>
            <w:tcW w:w="1243" w:type="dxa"/>
            <w:tcBorders>
              <w:top w:val="single" w:sz="4" w:space="0" w:color="auto"/>
              <w:left w:val="single" w:sz="4" w:space="0" w:color="auto"/>
              <w:bottom w:val="single" w:sz="4" w:space="0" w:color="auto"/>
              <w:right w:val="single" w:sz="4" w:space="0" w:color="auto"/>
            </w:tcBorders>
          </w:tcPr>
          <w:p w14:paraId="215178BA" w14:textId="77777777" w:rsidR="00FC3F82" w:rsidRPr="00750881" w:rsidRDefault="00FC3F82" w:rsidP="001B716A">
            <w:pPr>
              <w:pStyle w:val="ListParagraph"/>
              <w:ind w:left="360"/>
              <w:rPr>
                <w:rFonts w:cstheme="minorHAnsi"/>
              </w:rPr>
            </w:pPr>
          </w:p>
          <w:p w14:paraId="4D913E61" w14:textId="032F71DB" w:rsidR="00331D1A" w:rsidRDefault="00331D1A" w:rsidP="001B716A">
            <w:pPr>
              <w:rPr>
                <w:rFonts w:cstheme="minorHAnsi"/>
              </w:rPr>
            </w:pPr>
          </w:p>
          <w:p w14:paraId="4E2F8825" w14:textId="1086C605" w:rsidR="005E0BEF" w:rsidRDefault="005E0BEF" w:rsidP="001B716A">
            <w:pPr>
              <w:rPr>
                <w:rFonts w:cstheme="minorHAnsi"/>
              </w:rPr>
            </w:pPr>
          </w:p>
          <w:p w14:paraId="1D675861" w14:textId="20B63B4F" w:rsidR="005E0BEF" w:rsidRDefault="005E0BEF" w:rsidP="001B716A">
            <w:pPr>
              <w:rPr>
                <w:rFonts w:cstheme="minorHAnsi"/>
              </w:rPr>
            </w:pPr>
          </w:p>
          <w:p w14:paraId="0A0E16C6" w14:textId="598C71EF" w:rsidR="005E0BEF" w:rsidRDefault="005E0BEF" w:rsidP="001B716A">
            <w:pPr>
              <w:rPr>
                <w:rFonts w:cstheme="minorHAnsi"/>
              </w:rPr>
            </w:pPr>
          </w:p>
          <w:p w14:paraId="7BFBCD04" w14:textId="05F50193" w:rsidR="005E0BEF" w:rsidRDefault="005E0BEF" w:rsidP="001B716A">
            <w:pPr>
              <w:rPr>
                <w:rFonts w:cstheme="minorHAnsi"/>
              </w:rPr>
            </w:pPr>
          </w:p>
          <w:p w14:paraId="234A2644" w14:textId="6EAACB94" w:rsidR="005E0BEF" w:rsidRDefault="005E0BEF" w:rsidP="001B716A">
            <w:pPr>
              <w:rPr>
                <w:rFonts w:cstheme="minorHAnsi"/>
              </w:rPr>
            </w:pPr>
          </w:p>
          <w:p w14:paraId="2950D48B" w14:textId="1CF6A201" w:rsidR="005E0BEF" w:rsidRDefault="005E0BEF" w:rsidP="001B716A">
            <w:pPr>
              <w:rPr>
                <w:rFonts w:cstheme="minorHAnsi"/>
              </w:rPr>
            </w:pPr>
          </w:p>
          <w:p w14:paraId="3CB1BB1C" w14:textId="0963E43D" w:rsidR="005E0BEF" w:rsidRDefault="005E0BEF" w:rsidP="001B716A">
            <w:pPr>
              <w:rPr>
                <w:rFonts w:cstheme="minorHAnsi"/>
              </w:rPr>
            </w:pPr>
          </w:p>
          <w:p w14:paraId="58379B13" w14:textId="68451A77" w:rsidR="005E0BEF" w:rsidRDefault="005E0BEF" w:rsidP="001B716A">
            <w:pPr>
              <w:rPr>
                <w:rFonts w:cstheme="minorHAnsi"/>
              </w:rPr>
            </w:pPr>
          </w:p>
          <w:p w14:paraId="3E153D05" w14:textId="4FD2B0F9" w:rsidR="005E0BEF" w:rsidRDefault="005E0BEF" w:rsidP="001B716A">
            <w:pPr>
              <w:rPr>
                <w:rFonts w:cstheme="minorHAnsi"/>
              </w:rPr>
            </w:pPr>
          </w:p>
          <w:p w14:paraId="60DC1739" w14:textId="7673CC95" w:rsidR="005E0BEF" w:rsidRDefault="005E0BEF" w:rsidP="001B716A">
            <w:pPr>
              <w:rPr>
                <w:rFonts w:cstheme="minorHAnsi"/>
              </w:rPr>
            </w:pPr>
          </w:p>
          <w:p w14:paraId="4257DC9E" w14:textId="3FB76633" w:rsidR="005E0BEF" w:rsidRDefault="005E0BEF" w:rsidP="001B716A">
            <w:pPr>
              <w:rPr>
                <w:rFonts w:cstheme="minorHAnsi"/>
              </w:rPr>
            </w:pPr>
          </w:p>
          <w:p w14:paraId="79D89355" w14:textId="049917CC" w:rsidR="005E0BEF" w:rsidRDefault="005E0BEF" w:rsidP="001B716A">
            <w:pPr>
              <w:rPr>
                <w:rFonts w:cstheme="minorHAnsi"/>
              </w:rPr>
            </w:pPr>
          </w:p>
          <w:p w14:paraId="0032A097" w14:textId="31476C2A" w:rsidR="005E0BEF" w:rsidRDefault="005E0BEF" w:rsidP="001B716A">
            <w:pPr>
              <w:rPr>
                <w:rFonts w:cstheme="minorHAnsi"/>
              </w:rPr>
            </w:pPr>
          </w:p>
          <w:p w14:paraId="1C0D60A7" w14:textId="478A24B9" w:rsidR="005E0BEF" w:rsidRPr="005E0BEF" w:rsidRDefault="005E0BEF" w:rsidP="001B716A">
            <w:pPr>
              <w:rPr>
                <w:rFonts w:cstheme="minorHAnsi"/>
                <w:b/>
              </w:rPr>
            </w:pPr>
            <w:r w:rsidRPr="005E0BEF">
              <w:rPr>
                <w:rFonts w:cstheme="minorHAnsi"/>
                <w:b/>
              </w:rPr>
              <w:t>Executive Team</w:t>
            </w:r>
          </w:p>
          <w:p w14:paraId="7AC16959" w14:textId="77777777" w:rsidR="00750881" w:rsidRPr="00750881" w:rsidRDefault="00750881" w:rsidP="001B716A">
            <w:pPr>
              <w:rPr>
                <w:rFonts w:cstheme="minorHAnsi"/>
              </w:rPr>
            </w:pPr>
          </w:p>
          <w:p w14:paraId="68F385F2" w14:textId="77777777" w:rsidR="00331D1A" w:rsidRPr="00750881" w:rsidRDefault="00331D1A" w:rsidP="001B716A">
            <w:pPr>
              <w:rPr>
                <w:rFonts w:cstheme="minorHAnsi"/>
                <w:b/>
              </w:rPr>
            </w:pPr>
          </w:p>
        </w:tc>
      </w:tr>
      <w:tr w:rsidR="003275A5" w14:paraId="00590D3F"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ACEEFC" w14:textId="10134670" w:rsidR="003275A5" w:rsidRPr="006743F4" w:rsidRDefault="006743F4" w:rsidP="001B716A">
            <w:pPr>
              <w:rPr>
                <w:rFonts w:cstheme="minorHAnsi"/>
                <w:b/>
                <w:sz w:val="24"/>
                <w:szCs w:val="24"/>
              </w:rPr>
            </w:pPr>
            <w:r w:rsidRPr="006743F4">
              <w:rPr>
                <w:rFonts w:cstheme="minorHAnsi"/>
                <w:b/>
                <w:sz w:val="24"/>
                <w:szCs w:val="24"/>
              </w:rPr>
              <w:t>ANNUAL ACCOUNTS – EXTERNAL AUDIT</w:t>
            </w:r>
          </w:p>
        </w:tc>
      </w:tr>
      <w:tr w:rsidR="005C7931" w14:paraId="346FB841" w14:textId="77777777" w:rsidTr="006743F4">
        <w:tc>
          <w:tcPr>
            <w:tcW w:w="1131" w:type="dxa"/>
            <w:tcBorders>
              <w:top w:val="single" w:sz="4" w:space="0" w:color="auto"/>
              <w:left w:val="single" w:sz="4" w:space="0" w:color="auto"/>
              <w:bottom w:val="single" w:sz="4" w:space="0" w:color="auto"/>
              <w:right w:val="single" w:sz="4" w:space="0" w:color="auto"/>
            </w:tcBorders>
          </w:tcPr>
          <w:p w14:paraId="735DD93D" w14:textId="77777777" w:rsidR="005C7931" w:rsidRPr="00623794" w:rsidRDefault="005C7931" w:rsidP="001B716A">
            <w:pPr>
              <w:pStyle w:val="ListParagraph"/>
              <w:numPr>
                <w:ilvl w:val="0"/>
                <w:numId w:val="26"/>
              </w:numPr>
            </w:pPr>
          </w:p>
        </w:tc>
        <w:tc>
          <w:tcPr>
            <w:tcW w:w="8105" w:type="dxa"/>
            <w:gridSpan w:val="2"/>
            <w:tcBorders>
              <w:top w:val="single" w:sz="4" w:space="0" w:color="auto"/>
              <w:left w:val="single" w:sz="4" w:space="0" w:color="auto"/>
              <w:bottom w:val="single" w:sz="4" w:space="0" w:color="auto"/>
              <w:right w:val="single" w:sz="4" w:space="0" w:color="auto"/>
            </w:tcBorders>
          </w:tcPr>
          <w:p w14:paraId="0076E75F" w14:textId="77777777" w:rsidR="00ED684B" w:rsidRDefault="005E0BEF" w:rsidP="00606C6F">
            <w:pPr>
              <w:pStyle w:val="ListParagraph"/>
              <w:ind w:left="6" w:hanging="6"/>
              <w:jc w:val="both"/>
            </w:pPr>
            <w:r>
              <w:t>The Committee reviewed the draft Financial Statements provided by the Scottish Parliamentary Corporate Body’s (SPCB) Finance Office and the accompanying commentary prepared by the Executive Team.</w:t>
            </w:r>
          </w:p>
          <w:p w14:paraId="6F7C0EB0" w14:textId="77777777" w:rsidR="005E0BEF" w:rsidRDefault="005E0BEF" w:rsidP="00606C6F">
            <w:pPr>
              <w:pStyle w:val="ListParagraph"/>
              <w:ind w:left="6" w:hanging="6"/>
              <w:jc w:val="both"/>
            </w:pPr>
          </w:p>
          <w:p w14:paraId="38C4CB2F" w14:textId="77777777" w:rsidR="005E0BEF" w:rsidRDefault="005E0BEF" w:rsidP="00606C6F">
            <w:pPr>
              <w:pStyle w:val="ListParagraph"/>
              <w:ind w:left="6" w:hanging="6"/>
              <w:jc w:val="both"/>
            </w:pPr>
            <w:r>
              <w:t>The Committee noted that net operating costs in 2021/22 were £320,000, compared to £307,000 in 2020/21.</w:t>
            </w:r>
          </w:p>
          <w:p w14:paraId="371CD440" w14:textId="77777777" w:rsidR="005E0BEF" w:rsidRDefault="005E0BEF" w:rsidP="00606C6F">
            <w:pPr>
              <w:pStyle w:val="ListParagraph"/>
              <w:ind w:left="6" w:hanging="6"/>
              <w:jc w:val="both"/>
            </w:pPr>
          </w:p>
          <w:p w14:paraId="7E35CAC4" w14:textId="77777777" w:rsidR="005E0BEF" w:rsidRDefault="005E0BEF" w:rsidP="00606C6F">
            <w:pPr>
              <w:pStyle w:val="ListParagraph"/>
              <w:ind w:left="6" w:hanging="6"/>
              <w:jc w:val="both"/>
            </w:pPr>
            <w:r>
              <w:t>The Committee noted that:</w:t>
            </w:r>
          </w:p>
          <w:p w14:paraId="2213DD28" w14:textId="3C530C1F" w:rsidR="005E0BEF" w:rsidRDefault="005E0BEF" w:rsidP="00801A76">
            <w:pPr>
              <w:pStyle w:val="ListParagraph"/>
              <w:numPr>
                <w:ilvl w:val="0"/>
                <w:numId w:val="35"/>
              </w:numPr>
              <w:ind w:left="457" w:hanging="457"/>
              <w:jc w:val="both"/>
            </w:pPr>
            <w:r>
              <w:t xml:space="preserve">Staff costs (which includes staff and Member salaries) were £15,000 lower than the prior year. This was a result of </w:t>
            </w:r>
            <w:r w:rsidR="00E93DAD">
              <w:t>five</w:t>
            </w:r>
            <w:r>
              <w:t xml:space="preserve"> Hearings being held in 2021/22 (compared to 14 in 2020/21) so Member remuneration was significantly lower as a result. Staff salaries increased in line with the SPCB pay award</w:t>
            </w:r>
            <w:r w:rsidR="0002492E">
              <w:t xml:space="preserve">, but </w:t>
            </w:r>
            <w:r w:rsidR="002F2CCA">
              <w:t>we</w:t>
            </w:r>
            <w:r w:rsidR="0002492E">
              <w:t>re still lower than 2020/21</w:t>
            </w:r>
            <w:r w:rsidR="00801A76">
              <w:t>,</w:t>
            </w:r>
            <w:r w:rsidR="0002492E">
              <w:t xml:space="preserve"> due to staffing changes</w:t>
            </w:r>
            <w:r w:rsidR="002F2CCA">
              <w:t xml:space="preserve"> in 2021/22</w:t>
            </w:r>
            <w:r w:rsidR="0002492E">
              <w:t>.</w:t>
            </w:r>
          </w:p>
          <w:p w14:paraId="4ED22901" w14:textId="432937B4" w:rsidR="005E0BEF" w:rsidRDefault="005E0BEF" w:rsidP="00801A76">
            <w:pPr>
              <w:pStyle w:val="ListParagraph"/>
              <w:numPr>
                <w:ilvl w:val="0"/>
                <w:numId w:val="35"/>
              </w:numPr>
              <w:ind w:left="457" w:hanging="457"/>
              <w:jc w:val="both"/>
            </w:pPr>
            <w:r>
              <w:t xml:space="preserve">Expenditure on other administration costs increased by £28,000. The Committee noted that a total of £73,000 </w:t>
            </w:r>
            <w:r w:rsidR="00472CE5">
              <w:t xml:space="preserve">(compared to £42,000 in 2021/21) </w:t>
            </w:r>
            <w:r>
              <w:t>had been incurred in legal fees in the year</w:t>
            </w:r>
            <w:r w:rsidR="00472CE5">
              <w:t xml:space="preserve"> and that £28,000 of this total represented the recognition of a provision in respect of expenses to be reimbursed to a pursuer following a successful appeal against a decision made by the Standards Commission in 2021/22. This significant increase in legal fees was partly offset by overall lower expenditure across all other expense categories of £3,000.</w:t>
            </w:r>
          </w:p>
          <w:p w14:paraId="3DDF781A" w14:textId="77777777" w:rsidR="00BC4302" w:rsidRDefault="00BC4302" w:rsidP="00472CE5">
            <w:pPr>
              <w:jc w:val="both"/>
            </w:pPr>
          </w:p>
          <w:p w14:paraId="7A64423C" w14:textId="32FBDBA2" w:rsidR="00472CE5" w:rsidRDefault="00472CE5" w:rsidP="00472CE5">
            <w:pPr>
              <w:pStyle w:val="ListParagraph"/>
              <w:ind w:left="3" w:hanging="3"/>
              <w:jc w:val="both"/>
            </w:pPr>
            <w:r>
              <w:t xml:space="preserve">The Committee asked the Executive </w:t>
            </w:r>
            <w:r w:rsidR="00801A76">
              <w:t>Team</w:t>
            </w:r>
            <w:r>
              <w:t xml:space="preserve"> to pass on its thanks to Mr Robb for his continued provision of accountancy services to the Standards Commission</w:t>
            </w:r>
            <w:r w:rsidR="00801A76">
              <w:t xml:space="preserve">. </w:t>
            </w:r>
          </w:p>
          <w:p w14:paraId="734DFFF0" w14:textId="77777777" w:rsidR="00472CE5" w:rsidRDefault="00472CE5" w:rsidP="00472CE5">
            <w:pPr>
              <w:pStyle w:val="ListParagraph"/>
              <w:ind w:left="3" w:hanging="3"/>
              <w:jc w:val="both"/>
            </w:pPr>
          </w:p>
          <w:p w14:paraId="12609C0B" w14:textId="55B98419" w:rsidR="00472CE5" w:rsidRPr="00A46144" w:rsidRDefault="00472CE5" w:rsidP="00472CE5">
            <w:pPr>
              <w:pStyle w:val="ListParagraph"/>
              <w:ind w:left="3" w:hanging="3"/>
              <w:jc w:val="both"/>
            </w:pPr>
            <w:r>
              <w:t>The Committee agreed a few minor changes to be made to the wording of the commentary on the accounts</w:t>
            </w:r>
            <w:r w:rsidR="00801A76">
              <w:t xml:space="preserve">. This included adding some commentary about whether the Standards Commission had met its </w:t>
            </w:r>
            <w:r w:rsidR="00105A81" w:rsidRPr="00105A81">
              <w:t>quantitative</w:t>
            </w:r>
            <w:r w:rsidR="00105A81">
              <w:t xml:space="preserve"> </w:t>
            </w:r>
            <w:r w:rsidR="00801A76">
              <w:t>targets in terms of the timescales for responding to enquiries, making decisions on case referral reports from the ESC and holding Hearings</w:t>
            </w:r>
            <w:r>
              <w:t xml:space="preserve">. It noted that the final draft of the Annual Accounts would be being considered at the Audit &amp; Risk Committee at its meeting on 19 July 2022 and would be presented thereafter to the Standards Commission for approval at its meeting on 25 July 2022.  </w:t>
            </w:r>
          </w:p>
          <w:p w14:paraId="08E19126" w14:textId="36114007" w:rsidR="00472CE5" w:rsidRPr="00ED684B" w:rsidRDefault="00472CE5" w:rsidP="00472CE5">
            <w:pPr>
              <w:pStyle w:val="ListParagraph"/>
              <w:jc w:val="both"/>
            </w:pPr>
          </w:p>
        </w:tc>
        <w:tc>
          <w:tcPr>
            <w:tcW w:w="1243" w:type="dxa"/>
            <w:tcBorders>
              <w:top w:val="single" w:sz="4" w:space="0" w:color="auto"/>
              <w:left w:val="single" w:sz="4" w:space="0" w:color="auto"/>
              <w:bottom w:val="single" w:sz="4" w:space="0" w:color="auto"/>
              <w:right w:val="single" w:sz="4" w:space="0" w:color="auto"/>
            </w:tcBorders>
          </w:tcPr>
          <w:p w14:paraId="22351629" w14:textId="58C0F740" w:rsidR="00371726" w:rsidRDefault="00472CE5" w:rsidP="001B716A">
            <w:pPr>
              <w:pStyle w:val="ListParagraph"/>
              <w:ind w:left="-96"/>
              <w:jc w:val="center"/>
              <w:rPr>
                <w:b/>
              </w:rPr>
            </w:pPr>
            <w:r>
              <w:rPr>
                <w:b/>
              </w:rPr>
              <w:t xml:space="preserve"> </w:t>
            </w:r>
          </w:p>
          <w:p w14:paraId="6B9FD274" w14:textId="77777777" w:rsidR="00297284" w:rsidRDefault="00297284" w:rsidP="00180E6F">
            <w:pPr>
              <w:pStyle w:val="ListParagraph"/>
              <w:ind w:left="-96"/>
              <w:jc w:val="center"/>
            </w:pPr>
          </w:p>
          <w:p w14:paraId="20F3E339" w14:textId="77777777" w:rsidR="00472CE5" w:rsidRDefault="00472CE5" w:rsidP="00180E6F">
            <w:pPr>
              <w:pStyle w:val="ListParagraph"/>
              <w:ind w:left="-96"/>
              <w:jc w:val="center"/>
            </w:pPr>
          </w:p>
          <w:p w14:paraId="65F0C847" w14:textId="77777777" w:rsidR="00472CE5" w:rsidRDefault="00472CE5" w:rsidP="00180E6F">
            <w:pPr>
              <w:pStyle w:val="ListParagraph"/>
              <w:ind w:left="-96"/>
              <w:jc w:val="center"/>
            </w:pPr>
          </w:p>
          <w:p w14:paraId="75D67F2D" w14:textId="77777777" w:rsidR="00472CE5" w:rsidRDefault="00472CE5" w:rsidP="00180E6F">
            <w:pPr>
              <w:pStyle w:val="ListParagraph"/>
              <w:ind w:left="-96"/>
              <w:jc w:val="center"/>
            </w:pPr>
          </w:p>
          <w:p w14:paraId="7E33980F" w14:textId="77777777" w:rsidR="00472CE5" w:rsidRDefault="00472CE5" w:rsidP="00180E6F">
            <w:pPr>
              <w:pStyle w:val="ListParagraph"/>
              <w:ind w:left="-96"/>
              <w:jc w:val="center"/>
            </w:pPr>
          </w:p>
          <w:p w14:paraId="45B91663" w14:textId="77777777" w:rsidR="00472CE5" w:rsidRDefault="00472CE5" w:rsidP="00180E6F">
            <w:pPr>
              <w:pStyle w:val="ListParagraph"/>
              <w:ind w:left="-96"/>
              <w:jc w:val="center"/>
            </w:pPr>
          </w:p>
          <w:p w14:paraId="5E5722E9" w14:textId="77777777" w:rsidR="00472CE5" w:rsidRDefault="00472CE5" w:rsidP="00180E6F">
            <w:pPr>
              <w:pStyle w:val="ListParagraph"/>
              <w:ind w:left="-96"/>
              <w:jc w:val="center"/>
            </w:pPr>
          </w:p>
          <w:p w14:paraId="5A038AF7" w14:textId="77777777" w:rsidR="00472CE5" w:rsidRDefault="00472CE5" w:rsidP="00180E6F">
            <w:pPr>
              <w:pStyle w:val="ListParagraph"/>
              <w:ind w:left="-96"/>
              <w:jc w:val="center"/>
            </w:pPr>
          </w:p>
          <w:p w14:paraId="226F78F2" w14:textId="77777777" w:rsidR="00472CE5" w:rsidRDefault="00472CE5" w:rsidP="00180E6F">
            <w:pPr>
              <w:pStyle w:val="ListParagraph"/>
              <w:ind w:left="-96"/>
              <w:jc w:val="center"/>
            </w:pPr>
          </w:p>
          <w:p w14:paraId="218C7462" w14:textId="77777777" w:rsidR="00472CE5" w:rsidRDefault="00472CE5" w:rsidP="00180E6F">
            <w:pPr>
              <w:pStyle w:val="ListParagraph"/>
              <w:ind w:left="-96"/>
              <w:jc w:val="center"/>
            </w:pPr>
          </w:p>
          <w:p w14:paraId="1EF53E83" w14:textId="77777777" w:rsidR="00472CE5" w:rsidRDefault="00472CE5" w:rsidP="00180E6F">
            <w:pPr>
              <w:pStyle w:val="ListParagraph"/>
              <w:ind w:left="-96"/>
              <w:jc w:val="center"/>
            </w:pPr>
          </w:p>
          <w:p w14:paraId="61894F4E" w14:textId="77777777" w:rsidR="00472CE5" w:rsidRDefault="00472CE5" w:rsidP="00180E6F">
            <w:pPr>
              <w:pStyle w:val="ListParagraph"/>
              <w:ind w:left="-96"/>
              <w:jc w:val="center"/>
            </w:pPr>
          </w:p>
          <w:p w14:paraId="7CC6D714" w14:textId="77777777" w:rsidR="00472CE5" w:rsidRDefault="00472CE5" w:rsidP="00180E6F">
            <w:pPr>
              <w:pStyle w:val="ListParagraph"/>
              <w:ind w:left="-96"/>
              <w:jc w:val="center"/>
            </w:pPr>
          </w:p>
          <w:p w14:paraId="7A102877" w14:textId="77777777" w:rsidR="00472CE5" w:rsidRDefault="00472CE5" w:rsidP="00180E6F">
            <w:pPr>
              <w:pStyle w:val="ListParagraph"/>
              <w:ind w:left="-96"/>
              <w:jc w:val="center"/>
            </w:pPr>
          </w:p>
          <w:p w14:paraId="214F294D" w14:textId="77777777" w:rsidR="00472CE5" w:rsidRDefault="00472CE5" w:rsidP="00180E6F">
            <w:pPr>
              <w:pStyle w:val="ListParagraph"/>
              <w:ind w:left="-96"/>
              <w:jc w:val="center"/>
            </w:pPr>
          </w:p>
          <w:p w14:paraId="409F0B50" w14:textId="77777777" w:rsidR="00472CE5" w:rsidRDefault="00472CE5" w:rsidP="00180E6F">
            <w:pPr>
              <w:pStyle w:val="ListParagraph"/>
              <w:ind w:left="-96"/>
              <w:jc w:val="center"/>
            </w:pPr>
          </w:p>
          <w:p w14:paraId="00314E02" w14:textId="77777777" w:rsidR="00472CE5" w:rsidRDefault="00472CE5" w:rsidP="00180E6F">
            <w:pPr>
              <w:pStyle w:val="ListParagraph"/>
              <w:ind w:left="-96"/>
              <w:jc w:val="center"/>
            </w:pPr>
          </w:p>
          <w:p w14:paraId="1B2E252C" w14:textId="77777777" w:rsidR="00472CE5" w:rsidRDefault="00472CE5" w:rsidP="00180E6F">
            <w:pPr>
              <w:pStyle w:val="ListParagraph"/>
              <w:ind w:left="-96"/>
              <w:jc w:val="center"/>
            </w:pPr>
          </w:p>
          <w:p w14:paraId="52CBC128" w14:textId="77777777" w:rsidR="00472CE5" w:rsidRDefault="00472CE5" w:rsidP="00180E6F">
            <w:pPr>
              <w:pStyle w:val="ListParagraph"/>
              <w:ind w:left="-96"/>
              <w:jc w:val="center"/>
            </w:pPr>
          </w:p>
          <w:p w14:paraId="16F72FC7" w14:textId="77777777" w:rsidR="008F64D7" w:rsidRDefault="008F64D7" w:rsidP="00180E6F">
            <w:pPr>
              <w:pStyle w:val="ListParagraph"/>
              <w:ind w:left="-96"/>
              <w:jc w:val="center"/>
              <w:rPr>
                <w:b/>
              </w:rPr>
            </w:pPr>
          </w:p>
          <w:p w14:paraId="0A4F59C3" w14:textId="18A3F71B" w:rsidR="00472CE5" w:rsidRDefault="00472CE5" w:rsidP="00180E6F">
            <w:pPr>
              <w:pStyle w:val="ListParagraph"/>
              <w:ind w:left="-96"/>
              <w:jc w:val="center"/>
              <w:rPr>
                <w:b/>
              </w:rPr>
            </w:pPr>
            <w:r w:rsidRPr="00472CE5">
              <w:rPr>
                <w:b/>
              </w:rPr>
              <w:t xml:space="preserve">Executive </w:t>
            </w:r>
            <w:r w:rsidR="00801A76">
              <w:rPr>
                <w:b/>
              </w:rPr>
              <w:t>Team</w:t>
            </w:r>
          </w:p>
          <w:p w14:paraId="49688F0D" w14:textId="77777777" w:rsidR="00472CE5" w:rsidRDefault="00472CE5" w:rsidP="00180E6F">
            <w:pPr>
              <w:pStyle w:val="ListParagraph"/>
              <w:ind w:left="-96"/>
              <w:jc w:val="center"/>
              <w:rPr>
                <w:b/>
              </w:rPr>
            </w:pPr>
          </w:p>
          <w:p w14:paraId="26C0B122" w14:textId="77777777" w:rsidR="00472CE5" w:rsidRDefault="00472CE5" w:rsidP="00180E6F">
            <w:pPr>
              <w:pStyle w:val="ListParagraph"/>
              <w:ind w:left="-96"/>
              <w:jc w:val="center"/>
              <w:rPr>
                <w:b/>
              </w:rPr>
            </w:pPr>
          </w:p>
          <w:p w14:paraId="36D56AD2" w14:textId="439FC654" w:rsidR="00472CE5" w:rsidRPr="00472CE5" w:rsidRDefault="00472CE5" w:rsidP="00180E6F">
            <w:pPr>
              <w:pStyle w:val="ListParagraph"/>
              <w:ind w:left="-96"/>
              <w:jc w:val="center"/>
              <w:rPr>
                <w:b/>
              </w:rPr>
            </w:pPr>
            <w:r>
              <w:rPr>
                <w:b/>
              </w:rPr>
              <w:t>Executive Team</w:t>
            </w:r>
          </w:p>
        </w:tc>
      </w:tr>
      <w:tr w:rsidR="005C7931" w14:paraId="3C8B9875"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77C5" w14:textId="60F74910" w:rsidR="005C7931" w:rsidRDefault="006743F4" w:rsidP="00F93C4E">
            <w:pPr>
              <w:rPr>
                <w:b/>
                <w:sz w:val="24"/>
                <w:szCs w:val="24"/>
              </w:rPr>
            </w:pPr>
            <w:r>
              <w:rPr>
                <w:rFonts w:cstheme="minorHAnsi"/>
                <w:b/>
                <w:sz w:val="24"/>
              </w:rPr>
              <w:t>INTERNAL AUDIT</w:t>
            </w:r>
          </w:p>
        </w:tc>
      </w:tr>
      <w:tr w:rsidR="001B716A" w14:paraId="489498A4" w14:textId="77777777" w:rsidTr="006743F4">
        <w:tc>
          <w:tcPr>
            <w:tcW w:w="1131" w:type="dxa"/>
            <w:tcBorders>
              <w:top w:val="single" w:sz="4" w:space="0" w:color="auto"/>
              <w:left w:val="single" w:sz="4" w:space="0" w:color="auto"/>
              <w:bottom w:val="single" w:sz="4" w:space="0" w:color="auto"/>
              <w:right w:val="single" w:sz="4" w:space="0" w:color="auto"/>
            </w:tcBorders>
          </w:tcPr>
          <w:p w14:paraId="52649CD1" w14:textId="77777777" w:rsidR="001B716A" w:rsidRPr="00623794" w:rsidRDefault="001B716A" w:rsidP="001B716A">
            <w:pPr>
              <w:pStyle w:val="ListParagraph"/>
              <w:numPr>
                <w:ilvl w:val="0"/>
                <w:numId w:val="26"/>
              </w:numPr>
            </w:pPr>
          </w:p>
        </w:tc>
        <w:tc>
          <w:tcPr>
            <w:tcW w:w="8105" w:type="dxa"/>
            <w:gridSpan w:val="2"/>
            <w:tcBorders>
              <w:top w:val="single" w:sz="4" w:space="0" w:color="auto"/>
              <w:left w:val="single" w:sz="4" w:space="0" w:color="auto"/>
              <w:bottom w:val="single" w:sz="4" w:space="0" w:color="auto"/>
              <w:right w:val="single" w:sz="4" w:space="0" w:color="auto"/>
            </w:tcBorders>
          </w:tcPr>
          <w:p w14:paraId="261BD7C6" w14:textId="2F56652D" w:rsidR="00290425" w:rsidRPr="00801A76" w:rsidRDefault="00801A76" w:rsidP="00801A76">
            <w:pPr>
              <w:contextualSpacing/>
              <w:jc w:val="both"/>
              <w:rPr>
                <w:bCs/>
              </w:rPr>
            </w:pPr>
            <w:r w:rsidRPr="00801A76">
              <w:rPr>
                <w:bCs/>
              </w:rPr>
              <w:t>Members noted that Mr Munro had advised that the internal audit would be undertaken by Grant Thornton and that the internal audit report should be ready for consideration by the Committee at its next meeting.</w:t>
            </w:r>
          </w:p>
        </w:tc>
        <w:tc>
          <w:tcPr>
            <w:tcW w:w="1243" w:type="dxa"/>
            <w:tcBorders>
              <w:top w:val="single" w:sz="4" w:space="0" w:color="auto"/>
              <w:left w:val="single" w:sz="4" w:space="0" w:color="auto"/>
              <w:bottom w:val="single" w:sz="4" w:space="0" w:color="auto"/>
              <w:right w:val="single" w:sz="4" w:space="0" w:color="auto"/>
            </w:tcBorders>
          </w:tcPr>
          <w:p w14:paraId="4915D3D5" w14:textId="77777777" w:rsidR="00472CE5" w:rsidRPr="00472CE5" w:rsidRDefault="00472CE5" w:rsidP="00472CE5">
            <w:pPr>
              <w:rPr>
                <w:b/>
              </w:rPr>
            </w:pPr>
          </w:p>
          <w:p w14:paraId="58D69820" w14:textId="3B96E9D4" w:rsidR="00CD229D" w:rsidRDefault="00CD229D" w:rsidP="006743F4">
            <w:pPr>
              <w:pStyle w:val="ListParagraph"/>
              <w:ind w:left="-96"/>
              <w:jc w:val="center"/>
              <w:rPr>
                <w:b/>
              </w:rPr>
            </w:pPr>
          </w:p>
          <w:p w14:paraId="7BCE6F5F" w14:textId="77777777" w:rsidR="007B136E" w:rsidRDefault="007B136E" w:rsidP="001B716A">
            <w:pPr>
              <w:pStyle w:val="ListParagraph"/>
              <w:ind w:left="-96"/>
              <w:rPr>
                <w:b/>
              </w:rPr>
            </w:pPr>
          </w:p>
          <w:p w14:paraId="6B87820A" w14:textId="77777777" w:rsidR="007B136E" w:rsidRPr="0078484D" w:rsidRDefault="007B136E" w:rsidP="005C15EF">
            <w:pPr>
              <w:pStyle w:val="ListParagraph"/>
              <w:ind w:left="0"/>
              <w:rPr>
                <w:b/>
              </w:rPr>
            </w:pPr>
          </w:p>
        </w:tc>
      </w:tr>
      <w:tr w:rsidR="006743F4" w14:paraId="1A639AD1"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F01BB4" w14:textId="08B0D33E" w:rsidR="006743F4" w:rsidRPr="006743F4" w:rsidRDefault="006743F4" w:rsidP="006743F4">
            <w:pPr>
              <w:pStyle w:val="ListParagraph"/>
              <w:ind w:left="0"/>
              <w:rPr>
                <w:b/>
                <w:sz w:val="24"/>
                <w:szCs w:val="24"/>
              </w:rPr>
            </w:pPr>
            <w:r>
              <w:rPr>
                <w:b/>
                <w:sz w:val="24"/>
                <w:szCs w:val="24"/>
              </w:rPr>
              <w:t>GOVERNANCE</w:t>
            </w:r>
          </w:p>
        </w:tc>
      </w:tr>
      <w:tr w:rsidR="006743F4" w14:paraId="296E9E41" w14:textId="77777777" w:rsidTr="006743F4">
        <w:tc>
          <w:tcPr>
            <w:tcW w:w="1131" w:type="dxa"/>
            <w:tcBorders>
              <w:top w:val="single" w:sz="4" w:space="0" w:color="auto"/>
              <w:left w:val="single" w:sz="4" w:space="0" w:color="auto"/>
              <w:bottom w:val="single" w:sz="4" w:space="0" w:color="auto"/>
              <w:right w:val="single" w:sz="4" w:space="0" w:color="auto"/>
            </w:tcBorders>
          </w:tcPr>
          <w:p w14:paraId="17E01B03" w14:textId="77777777" w:rsidR="006743F4" w:rsidRPr="00623794" w:rsidRDefault="006743F4" w:rsidP="001B716A">
            <w:pPr>
              <w:pStyle w:val="ListParagraph"/>
              <w:numPr>
                <w:ilvl w:val="0"/>
                <w:numId w:val="26"/>
              </w:numPr>
            </w:pPr>
          </w:p>
        </w:tc>
        <w:tc>
          <w:tcPr>
            <w:tcW w:w="8105" w:type="dxa"/>
            <w:gridSpan w:val="2"/>
            <w:tcBorders>
              <w:top w:val="single" w:sz="4" w:space="0" w:color="auto"/>
              <w:left w:val="single" w:sz="4" w:space="0" w:color="auto"/>
              <w:bottom w:val="single" w:sz="4" w:space="0" w:color="auto"/>
              <w:right w:val="single" w:sz="4" w:space="0" w:color="auto"/>
            </w:tcBorders>
          </w:tcPr>
          <w:p w14:paraId="57BC1CB8" w14:textId="0035DF51" w:rsidR="006743F4" w:rsidRPr="00ED684B" w:rsidRDefault="00ED684B" w:rsidP="006743F4">
            <w:pPr>
              <w:spacing w:line="256" w:lineRule="auto"/>
              <w:ind w:left="32"/>
              <w:contextualSpacing/>
              <w:jc w:val="both"/>
              <w:rPr>
                <w:rFonts w:cstheme="minorHAnsi"/>
                <w:b/>
              </w:rPr>
            </w:pPr>
            <w:r w:rsidRPr="00ED684B">
              <w:rPr>
                <w:rFonts w:cstheme="minorHAnsi"/>
                <w:b/>
              </w:rPr>
              <w:t>COMMITTEE TERMS OF REFERENCE AND PERFORMANCE</w:t>
            </w:r>
          </w:p>
          <w:p w14:paraId="423B6BA2" w14:textId="7EB317B1" w:rsidR="00D6587C" w:rsidRDefault="00D6587C" w:rsidP="00D6587C">
            <w:pPr>
              <w:pStyle w:val="ListParagraph"/>
              <w:ind w:left="3" w:hanging="3"/>
              <w:jc w:val="both"/>
            </w:pPr>
            <w:r>
              <w:t>The Committee reviewed the Audit &amp; Risk Committee’s Terms of Reference. The Committee agreed the Chair should recommend that the Terms of Reference be adopted by the Standards Commission at its meeting on 30 May 2022.</w:t>
            </w:r>
          </w:p>
          <w:p w14:paraId="37A0DF42" w14:textId="31A1A77E" w:rsidR="00D6587C" w:rsidRDefault="00D6587C" w:rsidP="00D6587C">
            <w:pPr>
              <w:pStyle w:val="ListParagraph"/>
              <w:ind w:left="3" w:hanging="3"/>
              <w:jc w:val="both"/>
            </w:pPr>
          </w:p>
          <w:p w14:paraId="0A7A6327" w14:textId="6A555413" w:rsidR="00D6587C" w:rsidRDefault="00D6587C" w:rsidP="00D6587C">
            <w:pPr>
              <w:pStyle w:val="ListParagraph"/>
              <w:ind w:left="3" w:hanging="3"/>
              <w:jc w:val="both"/>
            </w:pPr>
            <w:r>
              <w:t>The Committee noted the performance report detailing its activities during 2021/22, which included:</w:t>
            </w:r>
          </w:p>
          <w:p w14:paraId="4BE64752" w14:textId="77777777" w:rsidR="00D6587C" w:rsidRPr="00877CC4" w:rsidRDefault="00D6587C" w:rsidP="00D6587C">
            <w:pPr>
              <w:pStyle w:val="Default"/>
              <w:numPr>
                <w:ilvl w:val="0"/>
                <w:numId w:val="36"/>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Reviewing the draft Annual Accounts for approval by the Standards Commission;</w:t>
            </w:r>
          </w:p>
          <w:p w14:paraId="5C4AF55F" w14:textId="77777777" w:rsidR="00D6587C" w:rsidRDefault="00D6587C" w:rsidP="00D6587C">
            <w:pPr>
              <w:pStyle w:val="Default"/>
              <w:numPr>
                <w:ilvl w:val="0"/>
                <w:numId w:val="36"/>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Reviewing the Risk Register and identifying and reviewing actions to be taken to mitigate risks;</w:t>
            </w:r>
          </w:p>
          <w:p w14:paraId="42B41C85" w14:textId="77777777" w:rsidR="00D6587C" w:rsidRDefault="00D6587C" w:rsidP="00D6587C">
            <w:pPr>
              <w:pStyle w:val="Default"/>
              <w:numPr>
                <w:ilvl w:val="0"/>
                <w:numId w:val="36"/>
              </w:numPr>
              <w:ind w:left="316" w:hanging="284"/>
              <w:rPr>
                <w:rFonts w:asciiTheme="minorHAnsi" w:hAnsiTheme="minorHAnsi" w:cstheme="minorBidi"/>
                <w:color w:val="auto"/>
                <w:sz w:val="22"/>
                <w:szCs w:val="22"/>
              </w:rPr>
            </w:pPr>
            <w:r>
              <w:rPr>
                <w:rFonts w:asciiTheme="minorHAnsi" w:hAnsiTheme="minorHAnsi" w:cstheme="minorBidi"/>
                <w:color w:val="auto"/>
                <w:sz w:val="22"/>
                <w:szCs w:val="22"/>
              </w:rPr>
              <w:t xml:space="preserve">Recommending changes to the Risk Register and the individual risk scores </w:t>
            </w:r>
            <w:proofErr w:type="gramStart"/>
            <w:r>
              <w:rPr>
                <w:rFonts w:asciiTheme="minorHAnsi" w:hAnsiTheme="minorHAnsi" w:cstheme="minorBidi"/>
                <w:color w:val="auto"/>
                <w:sz w:val="22"/>
                <w:szCs w:val="22"/>
              </w:rPr>
              <w:t>in light of</w:t>
            </w:r>
            <w:proofErr w:type="gramEnd"/>
            <w:r>
              <w:rPr>
                <w:rFonts w:asciiTheme="minorHAnsi" w:hAnsiTheme="minorHAnsi" w:cstheme="minorBidi"/>
                <w:color w:val="auto"/>
                <w:sz w:val="22"/>
                <w:szCs w:val="22"/>
              </w:rPr>
              <w:t xml:space="preserve"> developments and actions taken;</w:t>
            </w:r>
          </w:p>
          <w:p w14:paraId="12B70072" w14:textId="77777777" w:rsidR="00D6587C" w:rsidRPr="00877CC4" w:rsidRDefault="00D6587C" w:rsidP="00D6587C">
            <w:pPr>
              <w:pStyle w:val="Default"/>
              <w:numPr>
                <w:ilvl w:val="0"/>
                <w:numId w:val="36"/>
              </w:numPr>
              <w:ind w:left="316" w:hanging="284"/>
              <w:rPr>
                <w:rFonts w:asciiTheme="minorHAnsi" w:hAnsiTheme="minorHAnsi" w:cstheme="minorBidi"/>
                <w:color w:val="auto"/>
                <w:sz w:val="22"/>
                <w:szCs w:val="22"/>
              </w:rPr>
            </w:pPr>
            <w:r>
              <w:rPr>
                <w:rFonts w:asciiTheme="minorHAnsi" w:hAnsiTheme="minorHAnsi" w:cstheme="minorBidi"/>
                <w:color w:val="auto"/>
                <w:sz w:val="22"/>
                <w:szCs w:val="22"/>
              </w:rPr>
              <w:t>Suggesting risks and mitigating actions to be included in the Risk Register for 2022/23;</w:t>
            </w:r>
          </w:p>
          <w:p w14:paraId="1198DEFF" w14:textId="77777777" w:rsidR="00D6587C" w:rsidRPr="00877CC4" w:rsidRDefault="00D6587C" w:rsidP="00D6587C">
            <w:pPr>
              <w:pStyle w:val="Default"/>
              <w:numPr>
                <w:ilvl w:val="0"/>
                <w:numId w:val="36"/>
              </w:numPr>
              <w:ind w:left="316" w:hanging="284"/>
              <w:rPr>
                <w:rFonts w:asciiTheme="minorHAnsi" w:hAnsiTheme="minorHAnsi" w:cstheme="minorBidi"/>
                <w:color w:val="auto"/>
                <w:sz w:val="22"/>
                <w:szCs w:val="22"/>
              </w:rPr>
            </w:pPr>
            <w:r w:rsidRPr="00877CC4">
              <w:rPr>
                <w:rFonts w:asciiTheme="minorHAnsi" w:hAnsiTheme="minorHAnsi" w:cstheme="minorBidi"/>
                <w:color w:val="auto"/>
                <w:sz w:val="22"/>
                <w:szCs w:val="22"/>
              </w:rPr>
              <w:t>Reviewing and recommending the external audit plan (including</w:t>
            </w:r>
            <w:r>
              <w:rPr>
                <w:rFonts w:asciiTheme="minorHAnsi" w:hAnsiTheme="minorHAnsi" w:cstheme="minorBidi"/>
                <w:color w:val="auto"/>
                <w:sz w:val="22"/>
                <w:szCs w:val="22"/>
              </w:rPr>
              <w:t xml:space="preserve"> the</w:t>
            </w:r>
            <w:r w:rsidRPr="00877CC4">
              <w:rPr>
                <w:rFonts w:asciiTheme="minorHAnsi" w:hAnsiTheme="minorHAnsi" w:cstheme="minorBidi"/>
                <w:color w:val="auto"/>
                <w:sz w:val="22"/>
                <w:szCs w:val="22"/>
              </w:rPr>
              <w:t xml:space="preserve"> timetable and fee);</w:t>
            </w:r>
          </w:p>
          <w:p w14:paraId="30AF9E5A" w14:textId="77777777" w:rsidR="00D6587C" w:rsidRPr="00944308" w:rsidRDefault="00D6587C" w:rsidP="00D6587C">
            <w:pPr>
              <w:pStyle w:val="Default"/>
              <w:numPr>
                <w:ilvl w:val="0"/>
                <w:numId w:val="36"/>
              </w:numPr>
              <w:ind w:left="316" w:hanging="284"/>
              <w:rPr>
                <w:rFonts w:asciiTheme="minorHAnsi" w:hAnsiTheme="minorHAnsi" w:cstheme="minorBidi"/>
                <w:color w:val="auto"/>
                <w:sz w:val="22"/>
                <w:szCs w:val="22"/>
              </w:rPr>
            </w:pPr>
            <w:r w:rsidRPr="00944308">
              <w:rPr>
                <w:rFonts w:asciiTheme="minorHAnsi" w:hAnsiTheme="minorHAnsi" w:cstheme="minorBidi"/>
                <w:color w:val="auto"/>
                <w:sz w:val="22"/>
                <w:szCs w:val="22"/>
              </w:rPr>
              <w:t>Reviewing internal and external audit reports</w:t>
            </w:r>
            <w:r>
              <w:rPr>
                <w:rFonts w:asciiTheme="minorHAnsi" w:hAnsiTheme="minorHAnsi" w:cstheme="minorBidi"/>
                <w:color w:val="auto"/>
                <w:sz w:val="22"/>
                <w:szCs w:val="22"/>
              </w:rPr>
              <w:t xml:space="preserve"> and any management responses</w:t>
            </w:r>
            <w:r w:rsidRPr="00944308">
              <w:rPr>
                <w:rFonts w:asciiTheme="minorHAnsi" w:hAnsiTheme="minorHAnsi" w:cstheme="minorBidi"/>
                <w:color w:val="auto"/>
                <w:sz w:val="22"/>
                <w:szCs w:val="22"/>
              </w:rPr>
              <w:t>;</w:t>
            </w:r>
            <w:r>
              <w:rPr>
                <w:rFonts w:asciiTheme="minorHAnsi" w:hAnsiTheme="minorHAnsi" w:cstheme="minorBidi"/>
                <w:color w:val="auto"/>
                <w:sz w:val="22"/>
                <w:szCs w:val="22"/>
              </w:rPr>
              <w:t xml:space="preserve"> and</w:t>
            </w:r>
          </w:p>
          <w:p w14:paraId="5C5AA1A2" w14:textId="77777777" w:rsidR="00D6587C" w:rsidRPr="00944308" w:rsidRDefault="00D6587C" w:rsidP="00D6587C">
            <w:pPr>
              <w:pStyle w:val="Default"/>
              <w:numPr>
                <w:ilvl w:val="0"/>
                <w:numId w:val="36"/>
              </w:numPr>
              <w:ind w:left="316" w:hanging="284"/>
              <w:rPr>
                <w:rFonts w:asciiTheme="minorHAnsi" w:hAnsiTheme="minorHAnsi" w:cstheme="minorBidi"/>
                <w:color w:val="auto"/>
                <w:sz w:val="22"/>
                <w:szCs w:val="22"/>
              </w:rPr>
            </w:pPr>
            <w:r w:rsidRPr="00944308">
              <w:rPr>
                <w:rFonts w:asciiTheme="minorHAnsi" w:hAnsiTheme="minorHAnsi" w:cstheme="minorBidi"/>
                <w:color w:val="auto"/>
                <w:sz w:val="22"/>
                <w:szCs w:val="22"/>
              </w:rPr>
              <w:lastRenderedPageBreak/>
              <w:t>Reviewing the</w:t>
            </w:r>
            <w:r>
              <w:rPr>
                <w:rFonts w:asciiTheme="minorHAnsi" w:hAnsiTheme="minorHAnsi" w:cstheme="minorBidi"/>
                <w:color w:val="auto"/>
                <w:sz w:val="22"/>
                <w:szCs w:val="22"/>
              </w:rPr>
              <w:t xml:space="preserve"> project to identify and introduce a new</w:t>
            </w:r>
            <w:r w:rsidRPr="00944308">
              <w:rPr>
                <w:rFonts w:asciiTheme="minorHAnsi" w:hAnsiTheme="minorHAnsi" w:cstheme="minorBidi"/>
                <w:color w:val="auto"/>
                <w:sz w:val="22"/>
                <w:szCs w:val="22"/>
              </w:rPr>
              <w:t xml:space="preserve"> payroll services contract. </w:t>
            </w:r>
          </w:p>
          <w:p w14:paraId="21A34F50" w14:textId="20742EBD" w:rsidR="00D6587C" w:rsidRDefault="00D6587C" w:rsidP="00D6587C">
            <w:pPr>
              <w:pStyle w:val="ListParagraph"/>
              <w:ind w:left="3" w:hanging="3"/>
              <w:jc w:val="both"/>
            </w:pPr>
          </w:p>
          <w:p w14:paraId="2431D5C3" w14:textId="442DC9D9" w:rsidR="00801A76" w:rsidRDefault="00801A76" w:rsidP="00D6587C">
            <w:pPr>
              <w:pStyle w:val="ListParagraph"/>
              <w:ind w:left="3" w:hanging="3"/>
              <w:jc w:val="both"/>
            </w:pPr>
            <w:r>
              <w:t>The Committee agreed that the Chair should advise the Standards Commission of this performance report at and should also confirm that he was confident that the Committee had discharged its duties effectively in 2021/22, in accordance with the Terms of Reference.</w:t>
            </w:r>
          </w:p>
          <w:p w14:paraId="23AE8F2F" w14:textId="77777777" w:rsidR="00801A76" w:rsidRDefault="00801A76" w:rsidP="00D6587C">
            <w:pPr>
              <w:pStyle w:val="ListParagraph"/>
              <w:ind w:left="3" w:hanging="3"/>
              <w:jc w:val="both"/>
            </w:pPr>
          </w:p>
          <w:p w14:paraId="2449F490" w14:textId="12A08EA8" w:rsidR="006743F4" w:rsidRDefault="00D6587C" w:rsidP="00801A76">
            <w:pPr>
              <w:pStyle w:val="ListParagraph"/>
              <w:ind w:left="3" w:hanging="3"/>
              <w:jc w:val="both"/>
              <w:rPr>
                <w:rFonts w:cstheme="minorHAnsi"/>
              </w:rPr>
            </w:pPr>
            <w:r>
              <w:t>The Committee agreed its workplan and schedule for 2022/23.</w:t>
            </w:r>
          </w:p>
          <w:p w14:paraId="0B78F485" w14:textId="66A6B3BB" w:rsidR="006743F4" w:rsidRDefault="006743F4" w:rsidP="006743F4">
            <w:pPr>
              <w:spacing w:line="256" w:lineRule="auto"/>
              <w:ind w:left="32"/>
              <w:contextualSpacing/>
              <w:jc w:val="both"/>
              <w:rPr>
                <w:rFonts w:cstheme="minorHAnsi"/>
              </w:rPr>
            </w:pPr>
          </w:p>
        </w:tc>
        <w:tc>
          <w:tcPr>
            <w:tcW w:w="1243" w:type="dxa"/>
            <w:tcBorders>
              <w:top w:val="single" w:sz="4" w:space="0" w:color="auto"/>
              <w:left w:val="single" w:sz="4" w:space="0" w:color="auto"/>
              <w:bottom w:val="single" w:sz="4" w:space="0" w:color="auto"/>
              <w:right w:val="single" w:sz="4" w:space="0" w:color="auto"/>
            </w:tcBorders>
          </w:tcPr>
          <w:p w14:paraId="46105D06" w14:textId="77777777" w:rsidR="006743F4" w:rsidRDefault="006743F4" w:rsidP="006743F4">
            <w:pPr>
              <w:pStyle w:val="ListParagraph"/>
              <w:ind w:left="-96"/>
              <w:jc w:val="center"/>
              <w:rPr>
                <w:b/>
              </w:rPr>
            </w:pPr>
          </w:p>
          <w:p w14:paraId="7589C56A" w14:textId="77777777" w:rsidR="00801A76" w:rsidRDefault="00801A76" w:rsidP="006743F4">
            <w:pPr>
              <w:pStyle w:val="ListParagraph"/>
              <w:ind w:left="-96"/>
              <w:jc w:val="center"/>
              <w:rPr>
                <w:b/>
              </w:rPr>
            </w:pPr>
          </w:p>
          <w:p w14:paraId="37BAEB48" w14:textId="77777777" w:rsidR="00801A76" w:rsidRDefault="00801A76" w:rsidP="006743F4">
            <w:pPr>
              <w:pStyle w:val="ListParagraph"/>
              <w:ind w:left="-96"/>
              <w:jc w:val="center"/>
              <w:rPr>
                <w:b/>
              </w:rPr>
            </w:pPr>
          </w:p>
          <w:p w14:paraId="08430495" w14:textId="77777777" w:rsidR="00801A76" w:rsidRDefault="00801A76" w:rsidP="006743F4">
            <w:pPr>
              <w:pStyle w:val="ListParagraph"/>
              <w:ind w:left="-96"/>
              <w:jc w:val="center"/>
              <w:rPr>
                <w:b/>
              </w:rPr>
            </w:pPr>
          </w:p>
          <w:p w14:paraId="1F177CDA" w14:textId="77777777" w:rsidR="00801A76" w:rsidRDefault="00801A76" w:rsidP="006743F4">
            <w:pPr>
              <w:pStyle w:val="ListParagraph"/>
              <w:ind w:left="-96"/>
              <w:jc w:val="center"/>
              <w:rPr>
                <w:b/>
              </w:rPr>
            </w:pPr>
          </w:p>
          <w:p w14:paraId="7A55BCDE" w14:textId="77777777" w:rsidR="00801A76" w:rsidRDefault="00801A76" w:rsidP="006743F4">
            <w:pPr>
              <w:pStyle w:val="ListParagraph"/>
              <w:ind w:left="-96"/>
              <w:jc w:val="center"/>
              <w:rPr>
                <w:b/>
              </w:rPr>
            </w:pPr>
          </w:p>
          <w:p w14:paraId="77981CB3" w14:textId="77777777" w:rsidR="00801A76" w:rsidRDefault="00801A76" w:rsidP="006743F4">
            <w:pPr>
              <w:pStyle w:val="ListParagraph"/>
              <w:ind w:left="-96"/>
              <w:jc w:val="center"/>
              <w:rPr>
                <w:b/>
              </w:rPr>
            </w:pPr>
          </w:p>
          <w:p w14:paraId="7672895A" w14:textId="77777777" w:rsidR="00801A76" w:rsidRDefault="00801A76" w:rsidP="006743F4">
            <w:pPr>
              <w:pStyle w:val="ListParagraph"/>
              <w:ind w:left="-96"/>
              <w:jc w:val="center"/>
              <w:rPr>
                <w:b/>
              </w:rPr>
            </w:pPr>
          </w:p>
          <w:p w14:paraId="2588A610" w14:textId="77777777" w:rsidR="00801A76" w:rsidRDefault="00801A76" w:rsidP="006743F4">
            <w:pPr>
              <w:pStyle w:val="ListParagraph"/>
              <w:ind w:left="-96"/>
              <w:jc w:val="center"/>
              <w:rPr>
                <w:b/>
              </w:rPr>
            </w:pPr>
          </w:p>
          <w:p w14:paraId="65FC4732" w14:textId="77777777" w:rsidR="00801A76" w:rsidRDefault="00801A76" w:rsidP="006743F4">
            <w:pPr>
              <w:pStyle w:val="ListParagraph"/>
              <w:ind w:left="-96"/>
              <w:jc w:val="center"/>
              <w:rPr>
                <w:b/>
              </w:rPr>
            </w:pPr>
          </w:p>
          <w:p w14:paraId="43D18598" w14:textId="77777777" w:rsidR="00801A76" w:rsidRDefault="00801A76" w:rsidP="006743F4">
            <w:pPr>
              <w:pStyle w:val="ListParagraph"/>
              <w:ind w:left="-96"/>
              <w:jc w:val="center"/>
              <w:rPr>
                <w:b/>
              </w:rPr>
            </w:pPr>
          </w:p>
          <w:p w14:paraId="6B70916B" w14:textId="77777777" w:rsidR="00801A76" w:rsidRDefault="00801A76" w:rsidP="006743F4">
            <w:pPr>
              <w:pStyle w:val="ListParagraph"/>
              <w:ind w:left="-96"/>
              <w:jc w:val="center"/>
              <w:rPr>
                <w:b/>
              </w:rPr>
            </w:pPr>
          </w:p>
          <w:p w14:paraId="68FC2D19" w14:textId="77777777" w:rsidR="00801A76" w:rsidRDefault="00801A76" w:rsidP="006743F4">
            <w:pPr>
              <w:pStyle w:val="ListParagraph"/>
              <w:ind w:left="-96"/>
              <w:jc w:val="center"/>
              <w:rPr>
                <w:b/>
              </w:rPr>
            </w:pPr>
          </w:p>
          <w:p w14:paraId="194CAAE1" w14:textId="77777777" w:rsidR="00801A76" w:rsidRDefault="00801A76" w:rsidP="006743F4">
            <w:pPr>
              <w:pStyle w:val="ListParagraph"/>
              <w:ind w:left="-96"/>
              <w:jc w:val="center"/>
              <w:rPr>
                <w:b/>
              </w:rPr>
            </w:pPr>
          </w:p>
          <w:p w14:paraId="2AA452DF" w14:textId="77777777" w:rsidR="00801A76" w:rsidRDefault="00801A76" w:rsidP="006743F4">
            <w:pPr>
              <w:pStyle w:val="ListParagraph"/>
              <w:ind w:left="-96"/>
              <w:jc w:val="center"/>
              <w:rPr>
                <w:b/>
              </w:rPr>
            </w:pPr>
          </w:p>
          <w:p w14:paraId="4F9D55A8" w14:textId="77777777" w:rsidR="00801A76" w:rsidRDefault="00801A76" w:rsidP="006743F4">
            <w:pPr>
              <w:pStyle w:val="ListParagraph"/>
              <w:ind w:left="-96"/>
              <w:jc w:val="center"/>
              <w:rPr>
                <w:b/>
              </w:rPr>
            </w:pPr>
          </w:p>
          <w:p w14:paraId="31846F30" w14:textId="77777777" w:rsidR="00801A76" w:rsidRDefault="00801A76" w:rsidP="006743F4">
            <w:pPr>
              <w:pStyle w:val="ListParagraph"/>
              <w:ind w:left="-96"/>
              <w:jc w:val="center"/>
              <w:rPr>
                <w:b/>
              </w:rPr>
            </w:pPr>
          </w:p>
          <w:p w14:paraId="5E71CF32" w14:textId="77777777" w:rsidR="00801A76" w:rsidRDefault="00801A76" w:rsidP="006743F4">
            <w:pPr>
              <w:pStyle w:val="ListParagraph"/>
              <w:ind w:left="-96"/>
              <w:jc w:val="center"/>
              <w:rPr>
                <w:b/>
              </w:rPr>
            </w:pPr>
          </w:p>
          <w:p w14:paraId="147039E2" w14:textId="77777777" w:rsidR="00801A76" w:rsidRDefault="00801A76" w:rsidP="006743F4">
            <w:pPr>
              <w:pStyle w:val="ListParagraph"/>
              <w:ind w:left="-96"/>
              <w:jc w:val="center"/>
              <w:rPr>
                <w:b/>
              </w:rPr>
            </w:pPr>
          </w:p>
          <w:p w14:paraId="53CAD628" w14:textId="77777777" w:rsidR="00801A76" w:rsidRDefault="00801A76" w:rsidP="006743F4">
            <w:pPr>
              <w:pStyle w:val="ListParagraph"/>
              <w:ind w:left="-96"/>
              <w:jc w:val="center"/>
              <w:rPr>
                <w:b/>
              </w:rPr>
            </w:pPr>
          </w:p>
          <w:p w14:paraId="3A494F29" w14:textId="54DB4588" w:rsidR="00801A76" w:rsidRDefault="00801A76" w:rsidP="006743F4">
            <w:pPr>
              <w:pStyle w:val="ListParagraph"/>
              <w:ind w:left="-96"/>
              <w:jc w:val="center"/>
              <w:rPr>
                <w:b/>
              </w:rPr>
            </w:pPr>
            <w:r>
              <w:rPr>
                <w:b/>
              </w:rPr>
              <w:t>Chair</w:t>
            </w:r>
          </w:p>
        </w:tc>
      </w:tr>
      <w:tr w:rsidR="006743F4" w14:paraId="63DFDFF8"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638485" w14:textId="73BD1379" w:rsidR="006743F4" w:rsidRDefault="006743F4" w:rsidP="006743F4">
            <w:pPr>
              <w:pStyle w:val="ListParagraph"/>
              <w:ind w:left="0"/>
              <w:rPr>
                <w:b/>
              </w:rPr>
            </w:pPr>
            <w:r w:rsidRPr="006743F4">
              <w:rPr>
                <w:b/>
                <w:sz w:val="24"/>
                <w:szCs w:val="24"/>
              </w:rPr>
              <w:lastRenderedPageBreak/>
              <w:t>ANY OTHER BUSINESS</w:t>
            </w:r>
          </w:p>
        </w:tc>
      </w:tr>
      <w:tr w:rsidR="006743F4" w14:paraId="3806A608" w14:textId="77777777" w:rsidTr="006743F4">
        <w:tc>
          <w:tcPr>
            <w:tcW w:w="1131" w:type="dxa"/>
            <w:tcBorders>
              <w:top w:val="single" w:sz="4" w:space="0" w:color="auto"/>
              <w:left w:val="single" w:sz="4" w:space="0" w:color="auto"/>
              <w:bottom w:val="single" w:sz="4" w:space="0" w:color="auto"/>
              <w:right w:val="single" w:sz="4" w:space="0" w:color="auto"/>
            </w:tcBorders>
          </w:tcPr>
          <w:p w14:paraId="6B4F7602" w14:textId="77777777" w:rsidR="006743F4" w:rsidRPr="00623794" w:rsidRDefault="006743F4" w:rsidP="001B716A">
            <w:pPr>
              <w:pStyle w:val="ListParagraph"/>
              <w:numPr>
                <w:ilvl w:val="0"/>
                <w:numId w:val="26"/>
              </w:numPr>
            </w:pPr>
          </w:p>
        </w:tc>
        <w:tc>
          <w:tcPr>
            <w:tcW w:w="8105" w:type="dxa"/>
            <w:gridSpan w:val="2"/>
            <w:tcBorders>
              <w:top w:val="single" w:sz="4" w:space="0" w:color="auto"/>
              <w:left w:val="single" w:sz="4" w:space="0" w:color="auto"/>
              <w:bottom w:val="single" w:sz="4" w:space="0" w:color="auto"/>
              <w:right w:val="single" w:sz="4" w:space="0" w:color="auto"/>
            </w:tcBorders>
          </w:tcPr>
          <w:p w14:paraId="0D565199" w14:textId="7B07462C" w:rsidR="006743F4" w:rsidRDefault="00801A76" w:rsidP="006743F4">
            <w:pPr>
              <w:spacing w:line="256" w:lineRule="auto"/>
              <w:ind w:left="32"/>
              <w:contextualSpacing/>
              <w:jc w:val="both"/>
              <w:rPr>
                <w:rFonts w:cstheme="minorHAnsi"/>
              </w:rPr>
            </w:pPr>
            <w:r>
              <w:rPr>
                <w:rFonts w:cstheme="minorHAnsi"/>
              </w:rPr>
              <w:t>No other business was raised or discussed.</w:t>
            </w:r>
          </w:p>
          <w:p w14:paraId="626F2A8D" w14:textId="6BE362E8" w:rsidR="006743F4" w:rsidRDefault="006743F4" w:rsidP="006743F4">
            <w:pPr>
              <w:spacing w:line="256" w:lineRule="auto"/>
              <w:ind w:left="32"/>
              <w:contextualSpacing/>
              <w:jc w:val="both"/>
              <w:rPr>
                <w:rFonts w:cstheme="minorHAnsi"/>
              </w:rPr>
            </w:pPr>
          </w:p>
        </w:tc>
        <w:tc>
          <w:tcPr>
            <w:tcW w:w="1243" w:type="dxa"/>
            <w:tcBorders>
              <w:top w:val="single" w:sz="4" w:space="0" w:color="auto"/>
              <w:left w:val="single" w:sz="4" w:space="0" w:color="auto"/>
              <w:bottom w:val="single" w:sz="4" w:space="0" w:color="auto"/>
              <w:right w:val="single" w:sz="4" w:space="0" w:color="auto"/>
            </w:tcBorders>
          </w:tcPr>
          <w:p w14:paraId="5DC05EEE" w14:textId="77777777" w:rsidR="006743F4" w:rsidRDefault="006743F4" w:rsidP="006743F4">
            <w:pPr>
              <w:pStyle w:val="ListParagraph"/>
              <w:ind w:left="-96"/>
              <w:jc w:val="center"/>
              <w:rPr>
                <w:b/>
              </w:rPr>
            </w:pPr>
          </w:p>
        </w:tc>
      </w:tr>
      <w:tr w:rsidR="006743F4" w14:paraId="3FBACE6C" w14:textId="77777777" w:rsidTr="006743F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2E82AB3" w14:textId="1FD3321A" w:rsidR="006743F4" w:rsidRPr="006743F4" w:rsidRDefault="006743F4" w:rsidP="006743F4">
            <w:pPr>
              <w:pStyle w:val="ListParagraph"/>
              <w:ind w:left="0"/>
              <w:rPr>
                <w:b/>
                <w:sz w:val="24"/>
                <w:szCs w:val="24"/>
              </w:rPr>
            </w:pPr>
            <w:r w:rsidRPr="006743F4">
              <w:rPr>
                <w:b/>
                <w:sz w:val="24"/>
                <w:szCs w:val="24"/>
              </w:rPr>
              <w:t>NEXT MEETING</w:t>
            </w:r>
          </w:p>
        </w:tc>
      </w:tr>
      <w:tr w:rsidR="006743F4" w14:paraId="4B78CBEA" w14:textId="77777777" w:rsidTr="006743F4">
        <w:tc>
          <w:tcPr>
            <w:tcW w:w="1131" w:type="dxa"/>
            <w:tcBorders>
              <w:top w:val="single" w:sz="4" w:space="0" w:color="auto"/>
              <w:left w:val="single" w:sz="4" w:space="0" w:color="auto"/>
              <w:bottom w:val="single" w:sz="4" w:space="0" w:color="auto"/>
              <w:right w:val="single" w:sz="4" w:space="0" w:color="auto"/>
            </w:tcBorders>
          </w:tcPr>
          <w:p w14:paraId="42C05D2A" w14:textId="77777777" w:rsidR="006743F4" w:rsidRPr="00623794" w:rsidRDefault="006743F4" w:rsidP="001B716A">
            <w:pPr>
              <w:pStyle w:val="ListParagraph"/>
              <w:numPr>
                <w:ilvl w:val="0"/>
                <w:numId w:val="26"/>
              </w:numPr>
            </w:pPr>
          </w:p>
        </w:tc>
        <w:tc>
          <w:tcPr>
            <w:tcW w:w="8105" w:type="dxa"/>
            <w:gridSpan w:val="2"/>
            <w:tcBorders>
              <w:top w:val="single" w:sz="4" w:space="0" w:color="auto"/>
              <w:left w:val="single" w:sz="4" w:space="0" w:color="auto"/>
              <w:bottom w:val="single" w:sz="4" w:space="0" w:color="auto"/>
              <w:right w:val="single" w:sz="4" w:space="0" w:color="auto"/>
            </w:tcBorders>
          </w:tcPr>
          <w:p w14:paraId="487775D6" w14:textId="77777777" w:rsidR="006743F4" w:rsidRDefault="006743F4" w:rsidP="006743F4">
            <w:pPr>
              <w:pStyle w:val="ListParagraph"/>
              <w:ind w:left="3" w:hanging="3"/>
            </w:pPr>
            <w:r w:rsidRPr="00290425">
              <w:t xml:space="preserve">The Committee </w:t>
            </w:r>
            <w:r>
              <w:t>noted that it was next</w:t>
            </w:r>
            <w:r w:rsidRPr="00290425">
              <w:t xml:space="preserve"> scheduled to meet on</w:t>
            </w:r>
            <w:r>
              <w:t>line on 19 July</w:t>
            </w:r>
            <w:r w:rsidRPr="00290425">
              <w:t xml:space="preserve"> 20</w:t>
            </w:r>
            <w:r>
              <w:t>22</w:t>
            </w:r>
            <w:r w:rsidRPr="00290425">
              <w:t>.</w:t>
            </w:r>
            <w:r>
              <w:t xml:space="preserve"> </w:t>
            </w:r>
          </w:p>
          <w:p w14:paraId="68C2F609" w14:textId="77A322B5" w:rsidR="006743F4" w:rsidRDefault="006743F4" w:rsidP="006743F4">
            <w:pPr>
              <w:pStyle w:val="ListParagraph"/>
              <w:ind w:left="3" w:hanging="3"/>
              <w:rPr>
                <w:rFonts w:cstheme="minorHAnsi"/>
              </w:rPr>
            </w:pPr>
          </w:p>
        </w:tc>
        <w:tc>
          <w:tcPr>
            <w:tcW w:w="1243" w:type="dxa"/>
            <w:tcBorders>
              <w:top w:val="single" w:sz="4" w:space="0" w:color="auto"/>
              <w:left w:val="single" w:sz="4" w:space="0" w:color="auto"/>
              <w:bottom w:val="single" w:sz="4" w:space="0" w:color="auto"/>
              <w:right w:val="single" w:sz="4" w:space="0" w:color="auto"/>
            </w:tcBorders>
          </w:tcPr>
          <w:p w14:paraId="1A65B90C" w14:textId="77777777" w:rsidR="006743F4" w:rsidRDefault="006743F4" w:rsidP="006743F4">
            <w:pPr>
              <w:pStyle w:val="ListParagraph"/>
              <w:ind w:left="-96"/>
              <w:jc w:val="center"/>
              <w:rPr>
                <w:b/>
              </w:rPr>
            </w:pPr>
          </w:p>
        </w:tc>
      </w:tr>
    </w:tbl>
    <w:p w14:paraId="073D2898" w14:textId="77777777" w:rsidR="001A3C46" w:rsidRDefault="00F918FA">
      <w:r>
        <w:br w:type="textWrapping" w:clear="all"/>
      </w:r>
    </w:p>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6890" w14:textId="77777777" w:rsidR="00C20573" w:rsidRDefault="00C20573" w:rsidP="0052545A">
      <w:pPr>
        <w:spacing w:after="0" w:line="240" w:lineRule="auto"/>
      </w:pPr>
      <w:r>
        <w:separator/>
      </w:r>
    </w:p>
  </w:endnote>
  <w:endnote w:type="continuationSeparator" w:id="0">
    <w:p w14:paraId="246A1400"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D742"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F73B" w14:textId="77777777" w:rsidR="00C20573" w:rsidRDefault="00C20573" w:rsidP="0052545A">
      <w:pPr>
        <w:spacing w:after="0" w:line="240" w:lineRule="auto"/>
      </w:pPr>
      <w:r>
        <w:separator/>
      </w:r>
    </w:p>
  </w:footnote>
  <w:footnote w:type="continuationSeparator" w:id="0">
    <w:p w14:paraId="566FCB5C"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4F4E" w14:textId="3D4CDD2B"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0E3DACFA" wp14:editId="6F219FED">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470728D5" w14:textId="77777777" w:rsidTr="0052545A">
      <w:tc>
        <w:tcPr>
          <w:tcW w:w="4361" w:type="dxa"/>
          <w:hideMark/>
        </w:tcPr>
        <w:p w14:paraId="432120DA" w14:textId="77777777" w:rsidR="00D8287E" w:rsidRDefault="00D8287E">
          <w:pPr>
            <w:pStyle w:val="Header"/>
          </w:pPr>
          <w:r>
            <w:rPr>
              <w:noProof/>
              <w:lang w:eastAsia="en-GB"/>
            </w:rPr>
            <w:drawing>
              <wp:inline distT="0" distB="0" distL="0" distR="0" wp14:anchorId="78012E45" wp14:editId="605911EA">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68F629E7" w14:textId="77777777" w:rsidR="00D8287E" w:rsidRPr="00065B2E" w:rsidRDefault="00D8287E">
          <w:pPr>
            <w:pStyle w:val="Header"/>
            <w:rPr>
              <w:b/>
            </w:rPr>
          </w:pPr>
        </w:p>
        <w:p w14:paraId="46B27389" w14:textId="065205C6" w:rsidR="00D8287E" w:rsidRDefault="00D8287E" w:rsidP="008D29F9">
          <w:pPr>
            <w:pStyle w:val="Header"/>
            <w:jc w:val="right"/>
          </w:pPr>
        </w:p>
      </w:tc>
    </w:tr>
  </w:tbl>
  <w:p w14:paraId="78B659F4"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8E9"/>
    <w:multiLevelType w:val="hybridMultilevel"/>
    <w:tmpl w:val="031E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EF152B4"/>
    <w:multiLevelType w:val="hybridMultilevel"/>
    <w:tmpl w:val="1826D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8"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9"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0" w15:restartNumberingAfterBreak="0">
    <w:nsid w:val="63F03C8E"/>
    <w:multiLevelType w:val="hybridMultilevel"/>
    <w:tmpl w:val="9EFE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F493F"/>
    <w:multiLevelType w:val="hybridMultilevel"/>
    <w:tmpl w:val="7EB6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9"/>
  </w:num>
  <w:num w:numId="2">
    <w:abstractNumId w:val="6"/>
  </w:num>
  <w:num w:numId="3">
    <w:abstractNumId w:val="24"/>
  </w:num>
  <w:num w:numId="4">
    <w:abstractNumId w:val="1"/>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4"/>
  </w:num>
  <w:num w:numId="11">
    <w:abstractNumId w:val="31"/>
  </w:num>
  <w:num w:numId="12">
    <w:abstractNumId w:val="27"/>
  </w:num>
  <w:num w:numId="13">
    <w:abstractNumId w:val="25"/>
  </w:num>
  <w:num w:numId="14">
    <w:abstractNumId w:val="28"/>
  </w:num>
  <w:num w:numId="15">
    <w:abstractNumId w:val="4"/>
  </w:num>
  <w:num w:numId="16">
    <w:abstractNumId w:val="32"/>
  </w:num>
  <w:num w:numId="17">
    <w:abstractNumId w:val="10"/>
  </w:num>
  <w:num w:numId="18">
    <w:abstractNumId w:val="20"/>
  </w:num>
  <w:num w:numId="19">
    <w:abstractNumId w:val="2"/>
  </w:num>
  <w:num w:numId="20">
    <w:abstractNumId w:val="3"/>
  </w:num>
  <w:num w:numId="21">
    <w:abstractNumId w:val="14"/>
  </w:num>
  <w:num w:numId="22">
    <w:abstractNumId w:val="12"/>
  </w:num>
  <w:num w:numId="23">
    <w:abstractNumId w:val="29"/>
  </w:num>
  <w:num w:numId="24">
    <w:abstractNumId w:val="21"/>
  </w:num>
  <w:num w:numId="25">
    <w:abstractNumId w:val="19"/>
  </w:num>
  <w:num w:numId="26">
    <w:abstractNumId w:val="22"/>
  </w:num>
  <w:num w:numId="27">
    <w:abstractNumId w:val="23"/>
  </w:num>
  <w:num w:numId="28">
    <w:abstractNumId w:val="15"/>
  </w:num>
  <w:num w:numId="29">
    <w:abstractNumId w:val="17"/>
  </w:num>
  <w:num w:numId="30">
    <w:abstractNumId w:val="7"/>
  </w:num>
  <w:num w:numId="31">
    <w:abstractNumId w:val="13"/>
  </w:num>
  <w:num w:numId="32">
    <w:abstractNumId w:val="11"/>
  </w:num>
  <w:num w:numId="33">
    <w:abstractNumId w:val="0"/>
  </w:num>
  <w:num w:numId="34">
    <w:abstractNumId w:val="30"/>
  </w:num>
  <w:num w:numId="35">
    <w:abstractNumId w:val="3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31B4"/>
    <w:rsid w:val="00005FFC"/>
    <w:rsid w:val="000131CE"/>
    <w:rsid w:val="000205DE"/>
    <w:rsid w:val="000233C4"/>
    <w:rsid w:val="0002353D"/>
    <w:rsid w:val="000248E2"/>
    <w:rsid w:val="0002492E"/>
    <w:rsid w:val="00027146"/>
    <w:rsid w:val="000272FE"/>
    <w:rsid w:val="0003231F"/>
    <w:rsid w:val="00036407"/>
    <w:rsid w:val="000365E4"/>
    <w:rsid w:val="00043F0A"/>
    <w:rsid w:val="00065B2E"/>
    <w:rsid w:val="00091BAA"/>
    <w:rsid w:val="00092C5F"/>
    <w:rsid w:val="000954BA"/>
    <w:rsid w:val="000A151D"/>
    <w:rsid w:val="000B15AD"/>
    <w:rsid w:val="000B1A3F"/>
    <w:rsid w:val="000B5BB5"/>
    <w:rsid w:val="000C0EAA"/>
    <w:rsid w:val="000C3610"/>
    <w:rsid w:val="000C5FC2"/>
    <w:rsid w:val="000C66C0"/>
    <w:rsid w:val="000C73DE"/>
    <w:rsid w:val="000D443D"/>
    <w:rsid w:val="000E045A"/>
    <w:rsid w:val="000F2418"/>
    <w:rsid w:val="0010178D"/>
    <w:rsid w:val="00103890"/>
    <w:rsid w:val="00105A81"/>
    <w:rsid w:val="00107CD4"/>
    <w:rsid w:val="00110A93"/>
    <w:rsid w:val="00114785"/>
    <w:rsid w:val="0012663F"/>
    <w:rsid w:val="00136940"/>
    <w:rsid w:val="00141DEA"/>
    <w:rsid w:val="00151BE4"/>
    <w:rsid w:val="00155520"/>
    <w:rsid w:val="0016089C"/>
    <w:rsid w:val="001616C2"/>
    <w:rsid w:val="00161E68"/>
    <w:rsid w:val="001663B1"/>
    <w:rsid w:val="001744F5"/>
    <w:rsid w:val="00180E6F"/>
    <w:rsid w:val="0018273F"/>
    <w:rsid w:val="001A1265"/>
    <w:rsid w:val="001A39D8"/>
    <w:rsid w:val="001A3C46"/>
    <w:rsid w:val="001A3E73"/>
    <w:rsid w:val="001B27D5"/>
    <w:rsid w:val="001B716A"/>
    <w:rsid w:val="001C22F0"/>
    <w:rsid w:val="001C3252"/>
    <w:rsid w:val="001D7680"/>
    <w:rsid w:val="001E3A8C"/>
    <w:rsid w:val="001F7B32"/>
    <w:rsid w:val="00200F91"/>
    <w:rsid w:val="002010BE"/>
    <w:rsid w:val="002014E5"/>
    <w:rsid w:val="0021293B"/>
    <w:rsid w:val="00213494"/>
    <w:rsid w:val="00214C83"/>
    <w:rsid w:val="0021560B"/>
    <w:rsid w:val="00217A02"/>
    <w:rsid w:val="00230E82"/>
    <w:rsid w:val="0023111D"/>
    <w:rsid w:val="00234FE9"/>
    <w:rsid w:val="0023621B"/>
    <w:rsid w:val="002375BF"/>
    <w:rsid w:val="0024149E"/>
    <w:rsid w:val="002418DE"/>
    <w:rsid w:val="00243748"/>
    <w:rsid w:val="00243967"/>
    <w:rsid w:val="00245958"/>
    <w:rsid w:val="00255F84"/>
    <w:rsid w:val="00261A4E"/>
    <w:rsid w:val="00284156"/>
    <w:rsid w:val="00290425"/>
    <w:rsid w:val="00294B28"/>
    <w:rsid w:val="00297284"/>
    <w:rsid w:val="002A0ADA"/>
    <w:rsid w:val="002B1AF2"/>
    <w:rsid w:val="002D56F7"/>
    <w:rsid w:val="002E5C02"/>
    <w:rsid w:val="002E6560"/>
    <w:rsid w:val="002E6672"/>
    <w:rsid w:val="002E7723"/>
    <w:rsid w:val="002E7765"/>
    <w:rsid w:val="002F28E3"/>
    <w:rsid w:val="002F2CCA"/>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71424"/>
    <w:rsid w:val="0037162F"/>
    <w:rsid w:val="00371726"/>
    <w:rsid w:val="00382DF9"/>
    <w:rsid w:val="00384A9D"/>
    <w:rsid w:val="00387027"/>
    <w:rsid w:val="003A0A9D"/>
    <w:rsid w:val="003A2B5D"/>
    <w:rsid w:val="003A6B58"/>
    <w:rsid w:val="003A73B5"/>
    <w:rsid w:val="003B084D"/>
    <w:rsid w:val="003B19B7"/>
    <w:rsid w:val="003B4F8C"/>
    <w:rsid w:val="003B5E36"/>
    <w:rsid w:val="003C6D5F"/>
    <w:rsid w:val="003C7567"/>
    <w:rsid w:val="003D4B5A"/>
    <w:rsid w:val="003F1B95"/>
    <w:rsid w:val="003F20E3"/>
    <w:rsid w:val="003F36E4"/>
    <w:rsid w:val="003F6332"/>
    <w:rsid w:val="003F63BE"/>
    <w:rsid w:val="003F6A3C"/>
    <w:rsid w:val="0040099B"/>
    <w:rsid w:val="004030EB"/>
    <w:rsid w:val="00403DB7"/>
    <w:rsid w:val="00404700"/>
    <w:rsid w:val="004231F7"/>
    <w:rsid w:val="00425277"/>
    <w:rsid w:val="00431BBC"/>
    <w:rsid w:val="004324CE"/>
    <w:rsid w:val="00440536"/>
    <w:rsid w:val="0044094F"/>
    <w:rsid w:val="00446937"/>
    <w:rsid w:val="00446A94"/>
    <w:rsid w:val="004473BF"/>
    <w:rsid w:val="00451FAB"/>
    <w:rsid w:val="00454D3C"/>
    <w:rsid w:val="00464861"/>
    <w:rsid w:val="00466057"/>
    <w:rsid w:val="004715EF"/>
    <w:rsid w:val="00472CE5"/>
    <w:rsid w:val="00475195"/>
    <w:rsid w:val="004810CF"/>
    <w:rsid w:val="00486F18"/>
    <w:rsid w:val="00487FB3"/>
    <w:rsid w:val="00493C77"/>
    <w:rsid w:val="00493D01"/>
    <w:rsid w:val="004A0ABD"/>
    <w:rsid w:val="004A367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217BE"/>
    <w:rsid w:val="005217DA"/>
    <w:rsid w:val="00521DB0"/>
    <w:rsid w:val="00524A84"/>
    <w:rsid w:val="0052545A"/>
    <w:rsid w:val="00526073"/>
    <w:rsid w:val="00537F58"/>
    <w:rsid w:val="00547312"/>
    <w:rsid w:val="00554D1E"/>
    <w:rsid w:val="005621B9"/>
    <w:rsid w:val="00567B64"/>
    <w:rsid w:val="00580B36"/>
    <w:rsid w:val="005917D0"/>
    <w:rsid w:val="005A2832"/>
    <w:rsid w:val="005A2A75"/>
    <w:rsid w:val="005A2D70"/>
    <w:rsid w:val="005A7FA3"/>
    <w:rsid w:val="005B4989"/>
    <w:rsid w:val="005B6263"/>
    <w:rsid w:val="005B641E"/>
    <w:rsid w:val="005C06BA"/>
    <w:rsid w:val="005C15EF"/>
    <w:rsid w:val="005C777A"/>
    <w:rsid w:val="005C7931"/>
    <w:rsid w:val="005D1BD4"/>
    <w:rsid w:val="005D40B6"/>
    <w:rsid w:val="005D4ED4"/>
    <w:rsid w:val="005E0BEF"/>
    <w:rsid w:val="005E2619"/>
    <w:rsid w:val="005F2177"/>
    <w:rsid w:val="005F4B1C"/>
    <w:rsid w:val="005F6502"/>
    <w:rsid w:val="0060432F"/>
    <w:rsid w:val="00606C6F"/>
    <w:rsid w:val="00617E11"/>
    <w:rsid w:val="00623794"/>
    <w:rsid w:val="00625E04"/>
    <w:rsid w:val="00635C02"/>
    <w:rsid w:val="00635C8F"/>
    <w:rsid w:val="00647F05"/>
    <w:rsid w:val="006505F7"/>
    <w:rsid w:val="00667B67"/>
    <w:rsid w:val="006743F4"/>
    <w:rsid w:val="00674E38"/>
    <w:rsid w:val="006A1E02"/>
    <w:rsid w:val="006B0999"/>
    <w:rsid w:val="006B7B18"/>
    <w:rsid w:val="006C3182"/>
    <w:rsid w:val="006C487B"/>
    <w:rsid w:val="006C500C"/>
    <w:rsid w:val="006C73E7"/>
    <w:rsid w:val="006D0014"/>
    <w:rsid w:val="006D1FF5"/>
    <w:rsid w:val="006D68E2"/>
    <w:rsid w:val="006E4C17"/>
    <w:rsid w:val="006F2377"/>
    <w:rsid w:val="006F4C92"/>
    <w:rsid w:val="006F7535"/>
    <w:rsid w:val="00701A37"/>
    <w:rsid w:val="00713C93"/>
    <w:rsid w:val="0071466B"/>
    <w:rsid w:val="007275BA"/>
    <w:rsid w:val="007354F4"/>
    <w:rsid w:val="007367DB"/>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1A76"/>
    <w:rsid w:val="00802169"/>
    <w:rsid w:val="00802403"/>
    <w:rsid w:val="00802608"/>
    <w:rsid w:val="008058B3"/>
    <w:rsid w:val="008062A0"/>
    <w:rsid w:val="00816108"/>
    <w:rsid w:val="008316BC"/>
    <w:rsid w:val="008339C0"/>
    <w:rsid w:val="008343F2"/>
    <w:rsid w:val="00840711"/>
    <w:rsid w:val="0084794A"/>
    <w:rsid w:val="00863B45"/>
    <w:rsid w:val="00866CBE"/>
    <w:rsid w:val="0086707F"/>
    <w:rsid w:val="00867846"/>
    <w:rsid w:val="008715D0"/>
    <w:rsid w:val="00875BD2"/>
    <w:rsid w:val="00876794"/>
    <w:rsid w:val="008907B7"/>
    <w:rsid w:val="008A1DA7"/>
    <w:rsid w:val="008A372B"/>
    <w:rsid w:val="008B3733"/>
    <w:rsid w:val="008C4B0B"/>
    <w:rsid w:val="008D29F9"/>
    <w:rsid w:val="008E0371"/>
    <w:rsid w:val="008E31FD"/>
    <w:rsid w:val="008E5D98"/>
    <w:rsid w:val="008F0949"/>
    <w:rsid w:val="008F3E23"/>
    <w:rsid w:val="008F64D7"/>
    <w:rsid w:val="009004F8"/>
    <w:rsid w:val="009031F9"/>
    <w:rsid w:val="00904550"/>
    <w:rsid w:val="00905F39"/>
    <w:rsid w:val="00916D57"/>
    <w:rsid w:val="00917C86"/>
    <w:rsid w:val="0092034B"/>
    <w:rsid w:val="00935E7B"/>
    <w:rsid w:val="00941CAC"/>
    <w:rsid w:val="00951EB7"/>
    <w:rsid w:val="0096128B"/>
    <w:rsid w:val="00963889"/>
    <w:rsid w:val="00971E98"/>
    <w:rsid w:val="00976AD3"/>
    <w:rsid w:val="00983CAB"/>
    <w:rsid w:val="009845A3"/>
    <w:rsid w:val="00997045"/>
    <w:rsid w:val="009A1BFE"/>
    <w:rsid w:val="009A3184"/>
    <w:rsid w:val="009A4569"/>
    <w:rsid w:val="009B1201"/>
    <w:rsid w:val="009B43DB"/>
    <w:rsid w:val="009C31CB"/>
    <w:rsid w:val="009C6451"/>
    <w:rsid w:val="009C786F"/>
    <w:rsid w:val="009D2A74"/>
    <w:rsid w:val="009E0074"/>
    <w:rsid w:val="009E1813"/>
    <w:rsid w:val="009F03E2"/>
    <w:rsid w:val="009F081B"/>
    <w:rsid w:val="009F53A8"/>
    <w:rsid w:val="009F5FC9"/>
    <w:rsid w:val="00A0395C"/>
    <w:rsid w:val="00A053A4"/>
    <w:rsid w:val="00A20F4E"/>
    <w:rsid w:val="00A27BC0"/>
    <w:rsid w:val="00A32256"/>
    <w:rsid w:val="00A411B7"/>
    <w:rsid w:val="00A413EC"/>
    <w:rsid w:val="00A4266B"/>
    <w:rsid w:val="00A4627D"/>
    <w:rsid w:val="00A55F9A"/>
    <w:rsid w:val="00A72405"/>
    <w:rsid w:val="00A74E46"/>
    <w:rsid w:val="00A906A9"/>
    <w:rsid w:val="00A95D98"/>
    <w:rsid w:val="00AA2C88"/>
    <w:rsid w:val="00AA46C1"/>
    <w:rsid w:val="00AA4A1A"/>
    <w:rsid w:val="00AA6887"/>
    <w:rsid w:val="00AA72C5"/>
    <w:rsid w:val="00AB20D5"/>
    <w:rsid w:val="00AC0532"/>
    <w:rsid w:val="00AD1F8C"/>
    <w:rsid w:val="00AD478C"/>
    <w:rsid w:val="00AD5F5E"/>
    <w:rsid w:val="00AD6340"/>
    <w:rsid w:val="00AD773A"/>
    <w:rsid w:val="00AE7D1C"/>
    <w:rsid w:val="00AF67AA"/>
    <w:rsid w:val="00B15998"/>
    <w:rsid w:val="00B16456"/>
    <w:rsid w:val="00B23214"/>
    <w:rsid w:val="00B25D55"/>
    <w:rsid w:val="00B32C7D"/>
    <w:rsid w:val="00B356AA"/>
    <w:rsid w:val="00B406B1"/>
    <w:rsid w:val="00B408A5"/>
    <w:rsid w:val="00B54887"/>
    <w:rsid w:val="00B62F09"/>
    <w:rsid w:val="00B726E8"/>
    <w:rsid w:val="00B80AD4"/>
    <w:rsid w:val="00B812B3"/>
    <w:rsid w:val="00B816BE"/>
    <w:rsid w:val="00B87399"/>
    <w:rsid w:val="00B961D2"/>
    <w:rsid w:val="00BA147A"/>
    <w:rsid w:val="00BA676F"/>
    <w:rsid w:val="00BB20EE"/>
    <w:rsid w:val="00BC4302"/>
    <w:rsid w:val="00BC6CBD"/>
    <w:rsid w:val="00BD6614"/>
    <w:rsid w:val="00BD7E32"/>
    <w:rsid w:val="00BE54D1"/>
    <w:rsid w:val="00BF5F6D"/>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A0E3E"/>
    <w:rsid w:val="00CB20D1"/>
    <w:rsid w:val="00CB3370"/>
    <w:rsid w:val="00CB58AC"/>
    <w:rsid w:val="00CC1ADB"/>
    <w:rsid w:val="00CC3DA4"/>
    <w:rsid w:val="00CD1A02"/>
    <w:rsid w:val="00CD229D"/>
    <w:rsid w:val="00CD2C50"/>
    <w:rsid w:val="00CE24AF"/>
    <w:rsid w:val="00CE2618"/>
    <w:rsid w:val="00CE3196"/>
    <w:rsid w:val="00CF0385"/>
    <w:rsid w:val="00CF54BE"/>
    <w:rsid w:val="00D04421"/>
    <w:rsid w:val="00D11410"/>
    <w:rsid w:val="00D22EE9"/>
    <w:rsid w:val="00D30A2A"/>
    <w:rsid w:val="00D30C07"/>
    <w:rsid w:val="00D3293A"/>
    <w:rsid w:val="00D405D5"/>
    <w:rsid w:val="00D40F95"/>
    <w:rsid w:val="00D4136D"/>
    <w:rsid w:val="00D4352F"/>
    <w:rsid w:val="00D44FD7"/>
    <w:rsid w:val="00D51344"/>
    <w:rsid w:val="00D518C7"/>
    <w:rsid w:val="00D6587C"/>
    <w:rsid w:val="00D74076"/>
    <w:rsid w:val="00D74870"/>
    <w:rsid w:val="00D8287E"/>
    <w:rsid w:val="00D8464A"/>
    <w:rsid w:val="00D8476C"/>
    <w:rsid w:val="00D86EEA"/>
    <w:rsid w:val="00DC3A35"/>
    <w:rsid w:val="00DC3F5D"/>
    <w:rsid w:val="00DC41B1"/>
    <w:rsid w:val="00DE0347"/>
    <w:rsid w:val="00DE6697"/>
    <w:rsid w:val="00DF2447"/>
    <w:rsid w:val="00DF4888"/>
    <w:rsid w:val="00E02B86"/>
    <w:rsid w:val="00E0405D"/>
    <w:rsid w:val="00E07B7A"/>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93DAD"/>
    <w:rsid w:val="00E9435C"/>
    <w:rsid w:val="00EB11C4"/>
    <w:rsid w:val="00EB5179"/>
    <w:rsid w:val="00EC0B9F"/>
    <w:rsid w:val="00EC786B"/>
    <w:rsid w:val="00ED1434"/>
    <w:rsid w:val="00ED5E8F"/>
    <w:rsid w:val="00ED684B"/>
    <w:rsid w:val="00EE5311"/>
    <w:rsid w:val="00EF1486"/>
    <w:rsid w:val="00EF2D6C"/>
    <w:rsid w:val="00F01149"/>
    <w:rsid w:val="00F03943"/>
    <w:rsid w:val="00F11482"/>
    <w:rsid w:val="00F17648"/>
    <w:rsid w:val="00F2454C"/>
    <w:rsid w:val="00F260DA"/>
    <w:rsid w:val="00F26449"/>
    <w:rsid w:val="00F26DC8"/>
    <w:rsid w:val="00F40D32"/>
    <w:rsid w:val="00F56AFC"/>
    <w:rsid w:val="00F60D5F"/>
    <w:rsid w:val="00F621D5"/>
    <w:rsid w:val="00F7546F"/>
    <w:rsid w:val="00F87223"/>
    <w:rsid w:val="00F918FA"/>
    <w:rsid w:val="00F93C4E"/>
    <w:rsid w:val="00F943F6"/>
    <w:rsid w:val="00F97AC1"/>
    <w:rsid w:val="00F97E05"/>
    <w:rsid w:val="00FA4655"/>
    <w:rsid w:val="00FA7A85"/>
    <w:rsid w:val="00FB69DB"/>
    <w:rsid w:val="00FC290D"/>
    <w:rsid w:val="00FC3F82"/>
    <w:rsid w:val="00FC5038"/>
    <w:rsid w:val="00FE06AC"/>
    <w:rsid w:val="00FF07D1"/>
    <w:rsid w:val="00FF714F"/>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111319"/>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 w:type="paragraph" w:customStyle="1" w:styleId="Default">
    <w:name w:val="Default"/>
    <w:rsid w:val="00D658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392D-4920-4184-BCC1-FC6887C9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2</cp:revision>
  <cp:lastPrinted>2022-05-18T08:22:00Z</cp:lastPrinted>
  <dcterms:created xsi:type="dcterms:W3CDTF">2022-07-20T11:33:00Z</dcterms:created>
  <dcterms:modified xsi:type="dcterms:W3CDTF">2022-07-20T11:33:00Z</dcterms:modified>
</cp:coreProperties>
</file>