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0025" w:type="dxa"/>
        <w:tblInd w:w="5" w:type="dxa"/>
        <w:tblLayout w:type="fixed"/>
        <w:tblLook w:val="04A0" w:firstRow="1" w:lastRow="0" w:firstColumn="1" w:lastColumn="0" w:noHBand="0" w:noVBand="1"/>
      </w:tblPr>
      <w:tblGrid>
        <w:gridCol w:w="812"/>
        <w:gridCol w:w="4111"/>
        <w:gridCol w:w="3635"/>
        <w:gridCol w:w="14"/>
        <w:gridCol w:w="36"/>
        <w:gridCol w:w="1134"/>
        <w:gridCol w:w="283"/>
      </w:tblGrid>
      <w:tr w:rsidR="00FC1D77" w:rsidRPr="00C677CD" w14:paraId="7BF46312" w14:textId="77777777" w:rsidTr="001D168B">
        <w:tc>
          <w:tcPr>
            <w:tcW w:w="10025" w:type="dxa"/>
            <w:gridSpan w:val="7"/>
            <w:shd w:val="clear" w:color="auto" w:fill="auto"/>
          </w:tcPr>
          <w:p w14:paraId="40F77B34" w14:textId="64BA94F5" w:rsidR="00FC1D77" w:rsidRPr="00C677CD" w:rsidRDefault="00FC1D77" w:rsidP="00FC1D77">
            <w:pPr>
              <w:pStyle w:val="Header"/>
              <w:rPr>
                <w:b/>
              </w:rPr>
            </w:pPr>
            <w:r w:rsidRPr="00C677CD">
              <w:rPr>
                <w:b/>
                <w:sz w:val="72"/>
              </w:rPr>
              <w:t xml:space="preserve">MINUTES </w:t>
            </w:r>
            <w:r w:rsidR="00A0273F">
              <w:rPr>
                <w:b/>
                <w:i/>
                <w:sz w:val="28"/>
              </w:rPr>
              <w:t>M</w:t>
            </w:r>
            <w:r w:rsidRPr="00C677CD">
              <w:rPr>
                <w:b/>
                <w:i/>
                <w:sz w:val="28"/>
              </w:rPr>
              <w:t xml:space="preserve">eeting date: </w:t>
            </w:r>
            <w:r w:rsidR="00CF423B">
              <w:rPr>
                <w:b/>
                <w:i/>
                <w:sz w:val="28"/>
              </w:rPr>
              <w:t>Monday</w:t>
            </w:r>
            <w:r w:rsidR="00E93119">
              <w:rPr>
                <w:b/>
                <w:i/>
                <w:sz w:val="28"/>
              </w:rPr>
              <w:t xml:space="preserve"> </w:t>
            </w:r>
            <w:r w:rsidR="00290658">
              <w:rPr>
                <w:b/>
                <w:i/>
                <w:sz w:val="28"/>
              </w:rPr>
              <w:t>27 Febr</w:t>
            </w:r>
            <w:r w:rsidR="008B3CBC">
              <w:rPr>
                <w:b/>
                <w:i/>
                <w:sz w:val="28"/>
              </w:rPr>
              <w:t>uary 2017</w:t>
            </w:r>
          </w:p>
          <w:p w14:paraId="713E3E99" w14:textId="77777777" w:rsidR="00FC1D77" w:rsidRPr="00C677CD" w:rsidRDefault="00FC1D77" w:rsidP="00FC1D77">
            <w:pPr>
              <w:spacing w:after="0" w:line="240" w:lineRule="auto"/>
            </w:pPr>
          </w:p>
        </w:tc>
      </w:tr>
      <w:tr w:rsidR="00FC1D77" w:rsidRPr="00C677CD" w14:paraId="379C892E" w14:textId="77777777" w:rsidTr="001D168B">
        <w:tc>
          <w:tcPr>
            <w:tcW w:w="4923" w:type="dxa"/>
            <w:gridSpan w:val="2"/>
            <w:shd w:val="clear" w:color="auto" w:fill="auto"/>
          </w:tcPr>
          <w:p w14:paraId="6989B487" w14:textId="77777777" w:rsidR="00FC1D77" w:rsidRPr="00C677CD" w:rsidRDefault="00FC1D77" w:rsidP="00FC1D77">
            <w:pPr>
              <w:spacing w:after="0" w:line="240" w:lineRule="auto"/>
              <w:rPr>
                <w:b/>
                <w:i/>
                <w:sz w:val="24"/>
                <w:szCs w:val="24"/>
              </w:rPr>
            </w:pPr>
            <w:r w:rsidRPr="00C677CD">
              <w:rPr>
                <w:b/>
                <w:i/>
                <w:sz w:val="24"/>
                <w:szCs w:val="24"/>
              </w:rPr>
              <w:t>IN ATTENDANCE</w:t>
            </w:r>
          </w:p>
        </w:tc>
        <w:tc>
          <w:tcPr>
            <w:tcW w:w="5102" w:type="dxa"/>
            <w:gridSpan w:val="5"/>
            <w:shd w:val="clear" w:color="auto" w:fill="auto"/>
          </w:tcPr>
          <w:p w14:paraId="62DF9D25" w14:textId="77777777" w:rsidR="00FC1D77" w:rsidRPr="00C677CD" w:rsidRDefault="00FC1D77" w:rsidP="00FC1D77">
            <w:pPr>
              <w:spacing w:after="0" w:line="240" w:lineRule="auto"/>
              <w:rPr>
                <w:b/>
                <w:i/>
                <w:sz w:val="24"/>
                <w:szCs w:val="24"/>
              </w:rPr>
            </w:pPr>
          </w:p>
        </w:tc>
      </w:tr>
      <w:tr w:rsidR="00FC1D77" w:rsidRPr="00C677CD" w14:paraId="0C106AF7" w14:textId="77777777" w:rsidTr="00D6155B">
        <w:trPr>
          <w:gridAfter w:val="1"/>
          <w:wAfter w:w="283" w:type="dxa"/>
          <w:trHeight w:val="1257"/>
        </w:trPr>
        <w:tc>
          <w:tcPr>
            <w:tcW w:w="4923" w:type="dxa"/>
            <w:gridSpan w:val="2"/>
            <w:tcBorders>
              <w:bottom w:val="single" w:sz="4" w:space="0" w:color="auto"/>
            </w:tcBorders>
            <w:shd w:val="clear" w:color="auto" w:fill="auto"/>
          </w:tcPr>
          <w:p w14:paraId="0B478367" w14:textId="77777777" w:rsidR="00200F26" w:rsidRDefault="00200F26" w:rsidP="00AC04B8">
            <w:pPr>
              <w:pStyle w:val="NoSpacing"/>
              <w:numPr>
                <w:ilvl w:val="0"/>
                <w:numId w:val="5"/>
              </w:numPr>
              <w:ind w:left="279" w:hanging="284"/>
            </w:pPr>
            <w:r>
              <w:t>Kevin Dunion</w:t>
            </w:r>
          </w:p>
          <w:p w14:paraId="5188CA27" w14:textId="77777777" w:rsidR="00200F26" w:rsidRDefault="00200F26" w:rsidP="00AC04B8">
            <w:pPr>
              <w:pStyle w:val="NoSpacing"/>
              <w:numPr>
                <w:ilvl w:val="0"/>
                <w:numId w:val="5"/>
              </w:numPr>
              <w:ind w:left="279" w:hanging="284"/>
            </w:pPr>
            <w:r>
              <w:t>Lindsey Gallanders</w:t>
            </w:r>
          </w:p>
          <w:p w14:paraId="1EE553DE" w14:textId="1C6E057A" w:rsidR="00290658" w:rsidRDefault="00290658" w:rsidP="00AC04B8">
            <w:pPr>
              <w:pStyle w:val="NoSpacing"/>
              <w:numPr>
                <w:ilvl w:val="0"/>
                <w:numId w:val="5"/>
              </w:numPr>
              <w:ind w:left="279" w:hanging="284"/>
            </w:pPr>
            <w:r>
              <w:t>Michael McCormick</w:t>
            </w:r>
          </w:p>
          <w:p w14:paraId="07C01BCE" w14:textId="77777777" w:rsidR="00FC1D77" w:rsidRPr="00334680" w:rsidRDefault="000C0AF8" w:rsidP="00720C49">
            <w:pPr>
              <w:pStyle w:val="NoSpacing"/>
              <w:numPr>
                <w:ilvl w:val="0"/>
                <w:numId w:val="5"/>
              </w:numPr>
              <w:ind w:left="279" w:hanging="284"/>
              <w:rPr>
                <w:rFonts w:cs="Calibri"/>
              </w:rPr>
            </w:pPr>
            <w:r>
              <w:t>Matt Smith</w:t>
            </w:r>
          </w:p>
          <w:p w14:paraId="64F17A15" w14:textId="77777777" w:rsidR="00334680" w:rsidRPr="00290658" w:rsidRDefault="00334680" w:rsidP="00720C49">
            <w:pPr>
              <w:pStyle w:val="NoSpacing"/>
              <w:numPr>
                <w:ilvl w:val="0"/>
                <w:numId w:val="5"/>
              </w:numPr>
              <w:ind w:left="279" w:hanging="284"/>
              <w:rPr>
                <w:rFonts w:cs="Calibri"/>
              </w:rPr>
            </w:pPr>
            <w:r>
              <w:t>Julie Ward</w:t>
            </w:r>
          </w:p>
          <w:p w14:paraId="6FF754F2" w14:textId="77777777" w:rsidR="00290658" w:rsidRPr="00C677CD" w:rsidRDefault="00290658" w:rsidP="00290658">
            <w:pPr>
              <w:pStyle w:val="NoSpacing"/>
              <w:ind w:left="279"/>
              <w:rPr>
                <w:rFonts w:cs="Calibri"/>
              </w:rPr>
            </w:pPr>
          </w:p>
        </w:tc>
        <w:tc>
          <w:tcPr>
            <w:tcW w:w="4819" w:type="dxa"/>
            <w:gridSpan w:val="4"/>
            <w:tcBorders>
              <w:bottom w:val="single" w:sz="4" w:space="0" w:color="auto"/>
            </w:tcBorders>
            <w:shd w:val="clear" w:color="auto" w:fill="auto"/>
          </w:tcPr>
          <w:p w14:paraId="7E82C112" w14:textId="77777777" w:rsidR="00925765" w:rsidRPr="0055374C" w:rsidRDefault="00925765" w:rsidP="00925765">
            <w:pPr>
              <w:pStyle w:val="NoSpacing"/>
              <w:numPr>
                <w:ilvl w:val="0"/>
                <w:numId w:val="4"/>
              </w:numPr>
              <w:ind w:left="279" w:hanging="284"/>
            </w:pPr>
            <w:r w:rsidRPr="0055374C">
              <w:t>Lorna Johnston (Executive Director)</w:t>
            </w:r>
          </w:p>
          <w:p w14:paraId="7935C4CC" w14:textId="77777777" w:rsidR="00925765" w:rsidRDefault="00925765" w:rsidP="00925765">
            <w:pPr>
              <w:pStyle w:val="NoSpacing"/>
              <w:numPr>
                <w:ilvl w:val="0"/>
                <w:numId w:val="4"/>
              </w:numPr>
              <w:ind w:left="279" w:hanging="284"/>
            </w:pPr>
            <w:r>
              <w:t>Elaine McLean (Business Manager)</w:t>
            </w:r>
          </w:p>
          <w:p w14:paraId="1ECBD0A7" w14:textId="77777777" w:rsidR="00FC1D77" w:rsidRPr="000C0AF8" w:rsidRDefault="00FC1D77" w:rsidP="00CF423B">
            <w:pPr>
              <w:pStyle w:val="NoSpacing"/>
              <w:ind w:left="279"/>
            </w:pPr>
          </w:p>
        </w:tc>
      </w:tr>
      <w:tr w:rsidR="00FC1D77" w:rsidRPr="00C677CD" w14:paraId="2DC91566" w14:textId="77777777" w:rsidTr="00137331">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BC1AC0"/>
          </w:tcPr>
          <w:p w14:paraId="6CE44677" w14:textId="77777777" w:rsidR="00FC1D77" w:rsidRPr="00C677CD" w:rsidRDefault="00FC1D77" w:rsidP="00FC1D77">
            <w:pPr>
              <w:spacing w:after="0" w:line="240" w:lineRule="auto"/>
              <w:jc w:val="center"/>
              <w:rPr>
                <w:b/>
                <w:color w:val="FFFFFF"/>
                <w:sz w:val="24"/>
                <w:szCs w:val="24"/>
              </w:rPr>
            </w:pPr>
            <w:r w:rsidRPr="00C677CD">
              <w:rPr>
                <w:b/>
                <w:color w:val="FFFFFF"/>
                <w:sz w:val="24"/>
                <w:szCs w:val="24"/>
              </w:rPr>
              <w:t>ITEM</w:t>
            </w:r>
          </w:p>
        </w:tc>
        <w:tc>
          <w:tcPr>
            <w:tcW w:w="7796" w:type="dxa"/>
            <w:gridSpan w:val="4"/>
            <w:tcBorders>
              <w:top w:val="single" w:sz="4" w:space="0" w:color="auto"/>
              <w:left w:val="single" w:sz="4" w:space="0" w:color="auto"/>
              <w:bottom w:val="single" w:sz="4" w:space="0" w:color="auto"/>
              <w:right w:val="single" w:sz="4" w:space="0" w:color="auto"/>
            </w:tcBorders>
            <w:shd w:val="clear" w:color="auto" w:fill="BC1AC0"/>
          </w:tcPr>
          <w:p w14:paraId="0C70410A" w14:textId="77777777" w:rsidR="00FC1D77" w:rsidRPr="00C677CD" w:rsidRDefault="00FC1D77" w:rsidP="00FC1D77">
            <w:pPr>
              <w:spacing w:after="0" w:line="240" w:lineRule="auto"/>
              <w:rPr>
                <w:b/>
                <w:color w:val="FFFFFF"/>
                <w:sz w:val="24"/>
                <w:szCs w:val="24"/>
              </w:rPr>
            </w:pPr>
            <w:r w:rsidRPr="00C677CD">
              <w:rPr>
                <w:b/>
                <w:color w:val="FFFFFF"/>
                <w:sz w:val="24"/>
                <w:szCs w:val="24"/>
              </w:rPr>
              <w:t>CONTENT</w:t>
            </w:r>
          </w:p>
        </w:tc>
        <w:tc>
          <w:tcPr>
            <w:tcW w:w="1134" w:type="dxa"/>
            <w:tcBorders>
              <w:top w:val="single" w:sz="4" w:space="0" w:color="auto"/>
              <w:left w:val="single" w:sz="4" w:space="0" w:color="auto"/>
              <w:bottom w:val="single" w:sz="4" w:space="0" w:color="auto"/>
              <w:right w:val="single" w:sz="4" w:space="0" w:color="auto"/>
            </w:tcBorders>
            <w:shd w:val="clear" w:color="auto" w:fill="BC1AC0"/>
          </w:tcPr>
          <w:p w14:paraId="497BCF36" w14:textId="77777777" w:rsidR="00FC1D77" w:rsidRPr="00C677CD" w:rsidRDefault="00FC1D77" w:rsidP="00FC1D77">
            <w:pPr>
              <w:spacing w:after="0" w:line="240" w:lineRule="auto"/>
              <w:jc w:val="center"/>
              <w:rPr>
                <w:b/>
                <w:color w:val="FFFFFF"/>
                <w:sz w:val="24"/>
                <w:szCs w:val="24"/>
              </w:rPr>
            </w:pPr>
            <w:r w:rsidRPr="00C677CD">
              <w:rPr>
                <w:b/>
                <w:color w:val="FFFFFF"/>
                <w:sz w:val="24"/>
                <w:szCs w:val="24"/>
              </w:rPr>
              <w:t>ACTION</w:t>
            </w:r>
          </w:p>
        </w:tc>
      </w:tr>
      <w:tr w:rsidR="00FC1D77" w:rsidRPr="00C677CD" w14:paraId="2FAE69B7" w14:textId="77777777" w:rsidTr="001D168B">
        <w:trPr>
          <w:gridAfter w:val="1"/>
          <w:wAfter w:w="283" w:type="dxa"/>
        </w:trPr>
        <w:tc>
          <w:tcPr>
            <w:tcW w:w="9742" w:type="dxa"/>
            <w:gridSpan w:val="6"/>
            <w:tcBorders>
              <w:top w:val="single" w:sz="4" w:space="0" w:color="auto"/>
              <w:left w:val="single" w:sz="4" w:space="0" w:color="auto"/>
              <w:bottom w:val="single" w:sz="4" w:space="0" w:color="auto"/>
              <w:right w:val="single" w:sz="4" w:space="0" w:color="auto"/>
            </w:tcBorders>
            <w:shd w:val="clear" w:color="auto" w:fill="F985F1"/>
          </w:tcPr>
          <w:p w14:paraId="1646A82C" w14:textId="77777777" w:rsidR="00FC1D77" w:rsidRPr="00C677CD" w:rsidRDefault="00FC1D77" w:rsidP="00FC1D77">
            <w:pPr>
              <w:spacing w:after="0" w:line="240" w:lineRule="auto"/>
              <w:rPr>
                <w:b/>
                <w:sz w:val="24"/>
                <w:szCs w:val="24"/>
              </w:rPr>
            </w:pPr>
            <w:r w:rsidRPr="00C677CD">
              <w:rPr>
                <w:b/>
                <w:sz w:val="24"/>
                <w:szCs w:val="24"/>
              </w:rPr>
              <w:t>STANDING ITEMS</w:t>
            </w:r>
          </w:p>
        </w:tc>
      </w:tr>
      <w:tr w:rsidR="00FC1D77" w:rsidRPr="00C677CD" w14:paraId="4EC3A165" w14:textId="77777777" w:rsidTr="00DD62B4">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C677CD" w:rsidRDefault="00FC1D77" w:rsidP="00FC1D77">
            <w:pPr>
              <w:pStyle w:val="ListParagraph"/>
              <w:numPr>
                <w:ilvl w:val="0"/>
                <w:numId w:val="1"/>
              </w:numPr>
              <w:spacing w:after="0" w:line="240" w:lineRule="auto"/>
              <w:rPr>
                <w:rFonts w:cs="Calibri"/>
              </w:rPr>
            </w:pPr>
          </w:p>
        </w:tc>
        <w:tc>
          <w:tcPr>
            <w:tcW w:w="7796" w:type="dxa"/>
            <w:gridSpan w:val="4"/>
            <w:tcBorders>
              <w:top w:val="single" w:sz="4" w:space="0" w:color="auto"/>
              <w:left w:val="single" w:sz="4" w:space="0" w:color="auto"/>
              <w:bottom w:val="single" w:sz="4" w:space="0" w:color="auto"/>
              <w:right w:val="single" w:sz="4" w:space="0" w:color="auto"/>
            </w:tcBorders>
            <w:shd w:val="clear" w:color="auto" w:fill="auto"/>
          </w:tcPr>
          <w:p w14:paraId="7C0D0C0C" w14:textId="77777777" w:rsidR="00F04B21" w:rsidRDefault="00FC1D77" w:rsidP="00FC1D77">
            <w:pPr>
              <w:pStyle w:val="Heading3"/>
              <w:jc w:val="left"/>
              <w:rPr>
                <w:rFonts w:ascii="Calibri" w:hAnsi="Calibri" w:cs="Calibri"/>
                <w:sz w:val="22"/>
                <w:szCs w:val="22"/>
              </w:rPr>
            </w:pPr>
            <w:r w:rsidRPr="00C677CD">
              <w:rPr>
                <w:rFonts w:ascii="Calibri" w:hAnsi="Calibri" w:cs="Calibri"/>
                <w:sz w:val="22"/>
                <w:szCs w:val="22"/>
              </w:rPr>
              <w:t>APOLOG</w:t>
            </w:r>
            <w:r>
              <w:rPr>
                <w:rFonts w:ascii="Calibri" w:hAnsi="Calibri" w:cs="Calibri"/>
                <w:sz w:val="22"/>
                <w:szCs w:val="22"/>
              </w:rPr>
              <w:t>IES</w:t>
            </w:r>
            <w:r w:rsidRPr="00C677CD">
              <w:rPr>
                <w:rFonts w:ascii="Calibri" w:hAnsi="Calibri" w:cs="Calibri"/>
                <w:sz w:val="22"/>
                <w:szCs w:val="22"/>
              </w:rPr>
              <w:t xml:space="preserve">  </w:t>
            </w:r>
          </w:p>
          <w:p w14:paraId="1B941921" w14:textId="00E78CAA" w:rsidR="001D50A9" w:rsidRDefault="00290658" w:rsidP="00FC1D77">
            <w:pPr>
              <w:pStyle w:val="Heading3"/>
              <w:jc w:val="left"/>
              <w:rPr>
                <w:rFonts w:ascii="Calibri" w:hAnsi="Calibri" w:cs="Calibri"/>
                <w:b w:val="0"/>
                <w:sz w:val="22"/>
                <w:szCs w:val="22"/>
              </w:rPr>
            </w:pPr>
            <w:r>
              <w:rPr>
                <w:rFonts w:ascii="Calibri" w:hAnsi="Calibri" w:cs="Calibri"/>
                <w:b w:val="0"/>
                <w:sz w:val="22"/>
                <w:szCs w:val="22"/>
              </w:rPr>
              <w:t>No a</w:t>
            </w:r>
            <w:r w:rsidR="008B3CBC">
              <w:rPr>
                <w:rFonts w:ascii="Calibri" w:hAnsi="Calibri" w:cs="Calibri"/>
                <w:b w:val="0"/>
                <w:sz w:val="22"/>
                <w:szCs w:val="22"/>
              </w:rPr>
              <w:t>pologies were received</w:t>
            </w:r>
            <w:r w:rsidR="00470B3D">
              <w:rPr>
                <w:rFonts w:ascii="Calibri" w:hAnsi="Calibri" w:cs="Calibri"/>
                <w:b w:val="0"/>
                <w:sz w:val="22"/>
                <w:szCs w:val="22"/>
              </w:rPr>
              <w:t>.</w:t>
            </w:r>
            <w:r w:rsidR="00FA5276">
              <w:rPr>
                <w:rFonts w:ascii="Calibri" w:hAnsi="Calibri" w:cs="Calibri"/>
                <w:b w:val="0"/>
                <w:sz w:val="22"/>
                <w:szCs w:val="22"/>
              </w:rPr>
              <w:t xml:space="preserve">  Members welcomed Mr McCormick to </w:t>
            </w:r>
            <w:r w:rsidR="00EA7A7E">
              <w:rPr>
                <w:rFonts w:ascii="Calibri" w:hAnsi="Calibri" w:cs="Calibri"/>
                <w:b w:val="0"/>
                <w:sz w:val="22"/>
                <w:szCs w:val="22"/>
              </w:rPr>
              <w:t xml:space="preserve">his first meeting of </w:t>
            </w:r>
            <w:r w:rsidR="0056095B">
              <w:rPr>
                <w:rFonts w:ascii="Calibri" w:hAnsi="Calibri" w:cs="Calibri"/>
                <w:b w:val="0"/>
                <w:sz w:val="22"/>
                <w:szCs w:val="22"/>
              </w:rPr>
              <w:t>the Standards Commission</w:t>
            </w:r>
            <w:r w:rsidR="00FA5276">
              <w:rPr>
                <w:rFonts w:ascii="Calibri" w:hAnsi="Calibri" w:cs="Calibri"/>
                <w:b w:val="0"/>
                <w:sz w:val="22"/>
                <w:szCs w:val="22"/>
              </w:rPr>
              <w:t>.</w:t>
            </w:r>
          </w:p>
          <w:p w14:paraId="1B94C8B4" w14:textId="77777777" w:rsidR="001D50A9" w:rsidRDefault="001D50A9" w:rsidP="00FC1D77">
            <w:pPr>
              <w:pStyle w:val="Heading3"/>
              <w:jc w:val="left"/>
              <w:rPr>
                <w:rFonts w:ascii="Calibri" w:hAnsi="Calibri" w:cs="Calibri"/>
                <w:b w:val="0"/>
                <w:sz w:val="22"/>
                <w:szCs w:val="22"/>
              </w:rPr>
            </w:pPr>
          </w:p>
          <w:p w14:paraId="35E46055" w14:textId="77777777" w:rsidR="00FC1D77" w:rsidRPr="00C677CD" w:rsidRDefault="00FC1D77" w:rsidP="00FC1D77">
            <w:pPr>
              <w:spacing w:after="0" w:line="240" w:lineRule="auto"/>
              <w:rPr>
                <w:rFonts w:cs="Calibri"/>
              </w:rPr>
            </w:pPr>
            <w:r w:rsidRPr="00C677CD">
              <w:rPr>
                <w:rFonts w:cs="Calibri"/>
                <w:b/>
              </w:rPr>
              <w:t>CONFLICTS OF INTEREST</w:t>
            </w:r>
          </w:p>
          <w:p w14:paraId="15506689" w14:textId="6A0EE7BD" w:rsidR="00A87E2A" w:rsidRDefault="00470B3D" w:rsidP="00334680">
            <w:pPr>
              <w:spacing w:after="0" w:line="240" w:lineRule="auto"/>
              <w:rPr>
                <w:rFonts w:cs="Calibri"/>
              </w:rPr>
            </w:pPr>
            <w:r w:rsidRPr="006E1A85">
              <w:rPr>
                <w:rFonts w:cs="Calibri"/>
              </w:rPr>
              <w:t>Mr</w:t>
            </w:r>
            <w:r w:rsidR="006E1A85" w:rsidRPr="006E1A85">
              <w:rPr>
                <w:rFonts w:cs="Calibri"/>
              </w:rPr>
              <w:t>s Gallanders and Mr</w:t>
            </w:r>
            <w:r w:rsidRPr="006E1A85">
              <w:rPr>
                <w:rFonts w:cs="Calibri"/>
              </w:rPr>
              <w:t xml:space="preserve"> </w:t>
            </w:r>
            <w:r w:rsidR="006E1A85" w:rsidRPr="006E1A85">
              <w:rPr>
                <w:rFonts w:cs="Calibri"/>
              </w:rPr>
              <w:t>Smith both</w:t>
            </w:r>
            <w:r w:rsidRPr="006E1A85">
              <w:rPr>
                <w:rFonts w:cs="Calibri"/>
              </w:rPr>
              <w:t xml:space="preserve"> declared an interest in item </w:t>
            </w:r>
            <w:r w:rsidR="006E1A85" w:rsidRPr="006E1A85">
              <w:rPr>
                <w:rFonts w:cs="Calibri"/>
              </w:rPr>
              <w:t>15d</w:t>
            </w:r>
            <w:r w:rsidRPr="006E1A85">
              <w:rPr>
                <w:rFonts w:cs="Calibri"/>
              </w:rPr>
              <w:t xml:space="preserve"> and </w:t>
            </w:r>
            <w:r w:rsidR="006E1A85">
              <w:rPr>
                <w:rFonts w:cs="Calibri"/>
              </w:rPr>
              <w:t>left the room when the matter was discussed.</w:t>
            </w:r>
          </w:p>
          <w:p w14:paraId="487A5E73" w14:textId="77777777" w:rsidR="000A253D" w:rsidRPr="00C677CD" w:rsidRDefault="000A253D" w:rsidP="00334680">
            <w:pPr>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C677CD" w:rsidRDefault="00FC1D77" w:rsidP="00FC1D77">
            <w:pPr>
              <w:spacing w:after="0" w:line="240" w:lineRule="auto"/>
              <w:rPr>
                <w:rFonts w:cs="Calibri"/>
              </w:rPr>
            </w:pPr>
          </w:p>
        </w:tc>
      </w:tr>
      <w:tr w:rsidR="00FC1D77" w:rsidRPr="00C677CD" w14:paraId="3ACB7E47" w14:textId="77777777" w:rsidTr="00DD62B4">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C677CD" w:rsidRDefault="00FC1D77" w:rsidP="00FC1D77">
            <w:pPr>
              <w:pStyle w:val="ListParagraph"/>
              <w:numPr>
                <w:ilvl w:val="0"/>
                <w:numId w:val="1"/>
              </w:numPr>
              <w:spacing w:after="0" w:line="240" w:lineRule="auto"/>
              <w:rPr>
                <w:rFonts w:cs="Calibri"/>
              </w:rPr>
            </w:pPr>
          </w:p>
        </w:tc>
        <w:tc>
          <w:tcPr>
            <w:tcW w:w="7796" w:type="dxa"/>
            <w:gridSpan w:val="4"/>
            <w:tcBorders>
              <w:top w:val="single" w:sz="4" w:space="0" w:color="auto"/>
              <w:left w:val="single" w:sz="4" w:space="0" w:color="auto"/>
              <w:bottom w:val="single" w:sz="4" w:space="0" w:color="auto"/>
              <w:right w:val="single" w:sz="4" w:space="0" w:color="auto"/>
            </w:tcBorders>
            <w:shd w:val="clear" w:color="auto" w:fill="auto"/>
          </w:tcPr>
          <w:p w14:paraId="02D08990" w14:textId="77777777" w:rsidR="00FC1D77" w:rsidRPr="00C677CD" w:rsidRDefault="00FC1D77" w:rsidP="00FC1D77">
            <w:pPr>
              <w:spacing w:after="0" w:line="240" w:lineRule="auto"/>
              <w:ind w:left="18" w:hanging="18"/>
              <w:rPr>
                <w:rFonts w:cs="Calibri"/>
                <w:b/>
              </w:rPr>
            </w:pPr>
            <w:r w:rsidRPr="00C677CD">
              <w:rPr>
                <w:rFonts w:cs="Calibri"/>
                <w:b/>
              </w:rPr>
              <w:t>DRAFT MINUTE OF PREVIOUS MEETING</w:t>
            </w:r>
          </w:p>
          <w:p w14:paraId="1539FEDB" w14:textId="5EED921C" w:rsidR="00FC1D77" w:rsidRPr="00C677CD" w:rsidRDefault="00FC1D77" w:rsidP="00FC1D77">
            <w:pPr>
              <w:spacing w:after="0" w:line="240" w:lineRule="auto"/>
              <w:rPr>
                <w:rFonts w:cs="Calibri"/>
              </w:rPr>
            </w:pPr>
            <w:r w:rsidRPr="00C677CD">
              <w:rPr>
                <w:rFonts w:cs="Calibri"/>
              </w:rPr>
              <w:t xml:space="preserve">Members reviewed </w:t>
            </w:r>
            <w:r w:rsidR="009E43E8">
              <w:rPr>
                <w:rFonts w:cs="Calibri"/>
              </w:rPr>
              <w:t>and</w:t>
            </w:r>
            <w:r w:rsidR="001D50A9">
              <w:rPr>
                <w:rFonts w:cs="Calibri"/>
              </w:rPr>
              <w:t xml:space="preserve"> </w:t>
            </w:r>
            <w:r w:rsidRPr="00C677CD">
              <w:rPr>
                <w:rFonts w:cs="Calibri"/>
              </w:rPr>
              <w:t xml:space="preserve">approved the </w:t>
            </w:r>
            <w:r w:rsidR="004C6E69">
              <w:rPr>
                <w:rFonts w:cs="Calibri"/>
              </w:rPr>
              <w:t>m</w:t>
            </w:r>
            <w:r w:rsidRPr="00C677CD">
              <w:rPr>
                <w:rFonts w:cs="Calibri"/>
              </w:rPr>
              <w:t xml:space="preserve">inute </w:t>
            </w:r>
            <w:r w:rsidR="00B21E8F">
              <w:rPr>
                <w:rFonts w:cs="Calibri"/>
              </w:rPr>
              <w:t xml:space="preserve">of the meeting held on </w:t>
            </w:r>
            <w:r w:rsidR="00290658">
              <w:rPr>
                <w:rFonts w:cs="Calibri"/>
              </w:rPr>
              <w:t>30 January 2017</w:t>
            </w:r>
            <w:r w:rsidRPr="00C677CD">
              <w:rPr>
                <w:rFonts w:cs="Calibri"/>
              </w:rPr>
              <w:t xml:space="preserve">. </w:t>
            </w:r>
          </w:p>
          <w:p w14:paraId="6CF2CB1C" w14:textId="77777777" w:rsidR="00FC1D77" w:rsidRPr="00C677CD" w:rsidRDefault="00FC1D77" w:rsidP="00FC1D77">
            <w:pPr>
              <w:spacing w:after="0" w:line="240" w:lineRule="auto"/>
              <w:rPr>
                <w:rFonts w:cs="Calibri"/>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66E0D1" w14:textId="77777777" w:rsidR="00FC1D77" w:rsidRPr="00C677CD" w:rsidRDefault="00FC1D77" w:rsidP="00FC1D77">
            <w:pPr>
              <w:spacing w:after="0" w:line="240" w:lineRule="auto"/>
              <w:rPr>
                <w:rFonts w:cs="Calibri"/>
              </w:rPr>
            </w:pPr>
          </w:p>
        </w:tc>
      </w:tr>
      <w:tr w:rsidR="00FC1D77" w:rsidRPr="000C0AF8" w14:paraId="005E2DE2" w14:textId="77777777" w:rsidTr="00DD62B4">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2BB84728" w14:textId="77777777" w:rsidR="00FC1D77" w:rsidRPr="00AD5C75" w:rsidRDefault="00FC1D77" w:rsidP="00AC04B8">
            <w:pPr>
              <w:pStyle w:val="ListParagraph"/>
              <w:numPr>
                <w:ilvl w:val="0"/>
                <w:numId w:val="3"/>
              </w:numPr>
              <w:spacing w:after="0" w:line="240" w:lineRule="auto"/>
              <w:rPr>
                <w:rFonts w:cs="Calibri"/>
              </w:rPr>
            </w:pPr>
          </w:p>
        </w:tc>
        <w:tc>
          <w:tcPr>
            <w:tcW w:w="7796" w:type="dxa"/>
            <w:gridSpan w:val="4"/>
            <w:tcBorders>
              <w:top w:val="single" w:sz="4" w:space="0" w:color="auto"/>
              <w:left w:val="single" w:sz="4" w:space="0" w:color="auto"/>
              <w:bottom w:val="single" w:sz="4" w:space="0" w:color="auto"/>
              <w:right w:val="single" w:sz="4" w:space="0" w:color="auto"/>
            </w:tcBorders>
            <w:shd w:val="clear" w:color="auto" w:fill="auto"/>
          </w:tcPr>
          <w:p w14:paraId="578E8972" w14:textId="77777777" w:rsidR="00FC1D77" w:rsidRPr="00AD5C75" w:rsidRDefault="00FC1D77" w:rsidP="00FC1D77">
            <w:pPr>
              <w:spacing w:after="0" w:line="240" w:lineRule="auto"/>
              <w:rPr>
                <w:rFonts w:cs="Calibri"/>
                <w:b/>
              </w:rPr>
            </w:pPr>
            <w:r w:rsidRPr="00AD5C75">
              <w:rPr>
                <w:rFonts w:cs="Calibri"/>
                <w:b/>
              </w:rPr>
              <w:t>MATTERS ARISING</w:t>
            </w:r>
          </w:p>
          <w:p w14:paraId="123BB1EF" w14:textId="77777777" w:rsidR="009E43E8" w:rsidRDefault="009E43E8" w:rsidP="00720C49">
            <w:pPr>
              <w:spacing w:after="0" w:line="240" w:lineRule="auto"/>
              <w:rPr>
                <w:rFonts w:cs="Calibri"/>
              </w:rPr>
            </w:pPr>
            <w:r w:rsidRPr="006E1A85">
              <w:rPr>
                <w:rFonts w:cs="Calibri"/>
              </w:rPr>
              <w:t xml:space="preserve">Members noted that all matters </w:t>
            </w:r>
            <w:r w:rsidR="003D6ED7" w:rsidRPr="006E1A85">
              <w:rPr>
                <w:rFonts w:cs="Calibri"/>
              </w:rPr>
              <w:t xml:space="preserve">arising were </w:t>
            </w:r>
            <w:r w:rsidR="00C71814" w:rsidRPr="006E1A85">
              <w:rPr>
                <w:rFonts w:cs="Calibri"/>
              </w:rPr>
              <w:t xml:space="preserve">either </w:t>
            </w:r>
            <w:r w:rsidR="003D6ED7" w:rsidRPr="006E1A85">
              <w:rPr>
                <w:rFonts w:cs="Calibri"/>
              </w:rPr>
              <w:t xml:space="preserve">complete </w:t>
            </w:r>
            <w:r w:rsidRPr="006E1A85">
              <w:rPr>
                <w:rFonts w:cs="Calibri"/>
              </w:rPr>
              <w:t xml:space="preserve">or </w:t>
            </w:r>
            <w:r w:rsidR="00C71814" w:rsidRPr="006E1A85">
              <w:rPr>
                <w:rFonts w:cs="Calibri"/>
              </w:rPr>
              <w:t>to</w:t>
            </w:r>
            <w:r w:rsidRPr="006E1A85">
              <w:rPr>
                <w:rFonts w:cs="Calibri"/>
              </w:rPr>
              <w:t xml:space="preserve"> be discussed under the main agenda.</w:t>
            </w:r>
          </w:p>
          <w:p w14:paraId="1725D74C" w14:textId="77777777" w:rsidR="00173A23" w:rsidRPr="00AD5C75" w:rsidRDefault="00173A23" w:rsidP="00720C49">
            <w:pPr>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C13E4D" w14:textId="77777777" w:rsidR="000E4DD8" w:rsidRPr="000C0AF8" w:rsidRDefault="000E4DD8" w:rsidP="001C6254">
            <w:pPr>
              <w:spacing w:after="0" w:line="240" w:lineRule="auto"/>
              <w:rPr>
                <w:rFonts w:cs="Calibri"/>
                <w:b/>
                <w:highlight w:val="yellow"/>
              </w:rPr>
            </w:pPr>
          </w:p>
          <w:p w14:paraId="0D7FD296" w14:textId="77777777" w:rsidR="00814E98" w:rsidRDefault="00814E98" w:rsidP="00440936">
            <w:pPr>
              <w:spacing w:after="0" w:line="240" w:lineRule="auto"/>
              <w:rPr>
                <w:rFonts w:cs="Calibri"/>
                <w:b/>
              </w:rPr>
            </w:pPr>
          </w:p>
          <w:p w14:paraId="7BBE8A52" w14:textId="77777777" w:rsidR="00814E98" w:rsidRDefault="00814E98" w:rsidP="00440936">
            <w:pPr>
              <w:spacing w:after="0" w:line="240" w:lineRule="auto"/>
              <w:rPr>
                <w:rFonts w:cs="Calibri"/>
                <w:b/>
              </w:rPr>
            </w:pPr>
          </w:p>
          <w:p w14:paraId="57CD7714" w14:textId="77777777" w:rsidR="00200F26" w:rsidRPr="000C0AF8" w:rsidRDefault="00200F26" w:rsidP="00ED437D">
            <w:pPr>
              <w:spacing w:after="0" w:line="240" w:lineRule="auto"/>
              <w:rPr>
                <w:rFonts w:cs="Calibri"/>
                <w:b/>
                <w:highlight w:val="yellow"/>
              </w:rPr>
            </w:pPr>
          </w:p>
        </w:tc>
      </w:tr>
      <w:tr w:rsidR="00720C49" w:rsidRPr="000C0AF8" w14:paraId="7C5C267F" w14:textId="77777777" w:rsidTr="001D168B">
        <w:trPr>
          <w:gridAfter w:val="1"/>
          <w:wAfter w:w="283" w:type="dxa"/>
        </w:trPr>
        <w:tc>
          <w:tcPr>
            <w:tcW w:w="9742" w:type="dxa"/>
            <w:gridSpan w:val="6"/>
            <w:tcBorders>
              <w:top w:val="single" w:sz="4" w:space="0" w:color="auto"/>
              <w:left w:val="single" w:sz="4" w:space="0" w:color="auto"/>
              <w:bottom w:val="single" w:sz="4" w:space="0" w:color="auto"/>
              <w:right w:val="single" w:sz="4" w:space="0" w:color="auto"/>
            </w:tcBorders>
            <w:shd w:val="clear" w:color="auto" w:fill="F985F1"/>
          </w:tcPr>
          <w:p w14:paraId="719BAD81" w14:textId="77777777" w:rsidR="00720C49" w:rsidRPr="004B3CD0" w:rsidRDefault="00720C49" w:rsidP="00720C49">
            <w:pPr>
              <w:spacing w:after="0" w:line="240" w:lineRule="auto"/>
              <w:rPr>
                <w:rFonts w:cs="Calibri"/>
                <w:b/>
              </w:rPr>
            </w:pPr>
            <w:r w:rsidRPr="00FC6376">
              <w:rPr>
                <w:rFonts w:cs="Calibri"/>
                <w:b/>
                <w:sz w:val="26"/>
              </w:rPr>
              <w:t>BUSINESS MATTERS</w:t>
            </w:r>
          </w:p>
        </w:tc>
      </w:tr>
      <w:tr w:rsidR="004B53FE" w:rsidRPr="000C0AF8" w14:paraId="79E05375" w14:textId="77777777" w:rsidTr="00ED659F">
        <w:trPr>
          <w:gridAfter w:val="1"/>
          <w:wAfter w:w="283" w:type="dxa"/>
          <w:trHeight w:val="1146"/>
        </w:trPr>
        <w:tc>
          <w:tcPr>
            <w:tcW w:w="812" w:type="dxa"/>
            <w:vMerge w:val="restart"/>
            <w:tcBorders>
              <w:top w:val="single" w:sz="4" w:space="0" w:color="auto"/>
              <w:left w:val="single" w:sz="4" w:space="0" w:color="auto"/>
              <w:right w:val="single" w:sz="4" w:space="0" w:color="auto"/>
            </w:tcBorders>
            <w:shd w:val="clear" w:color="auto" w:fill="auto"/>
          </w:tcPr>
          <w:p w14:paraId="763DC10E" w14:textId="34D6F00E" w:rsidR="004B53FE" w:rsidRPr="00BF6730" w:rsidRDefault="00ED659F" w:rsidP="001D168B">
            <w:pPr>
              <w:rPr>
                <w:rFonts w:cs="Calibri"/>
                <w:b/>
              </w:rPr>
            </w:pPr>
            <w:r>
              <w:rPr>
                <w:rFonts w:cs="Calibri"/>
                <w:b/>
              </w:rPr>
              <w:t>4</w:t>
            </w:r>
            <w:r w:rsidR="004B53FE" w:rsidRPr="00BF6730">
              <w:rPr>
                <w:rFonts w:cs="Calibri"/>
                <w:b/>
              </w:rPr>
              <w:t>.</w:t>
            </w:r>
          </w:p>
        </w:tc>
        <w:tc>
          <w:tcPr>
            <w:tcW w:w="7760" w:type="dxa"/>
            <w:gridSpan w:val="3"/>
            <w:tcBorders>
              <w:top w:val="single" w:sz="4" w:space="0" w:color="auto"/>
              <w:left w:val="single" w:sz="4" w:space="0" w:color="auto"/>
              <w:bottom w:val="single" w:sz="4" w:space="0" w:color="auto"/>
              <w:right w:val="single" w:sz="4" w:space="0" w:color="auto"/>
            </w:tcBorders>
            <w:shd w:val="clear" w:color="auto" w:fill="auto"/>
          </w:tcPr>
          <w:p w14:paraId="3A243E15" w14:textId="77777777" w:rsidR="004B53FE" w:rsidRDefault="004B53FE" w:rsidP="00FC1D77">
            <w:pPr>
              <w:spacing w:after="0" w:line="240" w:lineRule="auto"/>
              <w:rPr>
                <w:rFonts w:cs="Calibri"/>
                <w:b/>
              </w:rPr>
            </w:pPr>
            <w:r w:rsidRPr="00DE6EF6">
              <w:rPr>
                <w:rFonts w:cs="Calibri"/>
                <w:b/>
              </w:rPr>
              <w:t xml:space="preserve">COMMUNICATIONS: </w:t>
            </w:r>
          </w:p>
          <w:p w14:paraId="1B6E792F" w14:textId="34AA92CC" w:rsidR="004B53FE" w:rsidRPr="00FC5D14" w:rsidRDefault="00ED659F" w:rsidP="00FC5D14">
            <w:pPr>
              <w:pStyle w:val="ListParagraph"/>
              <w:numPr>
                <w:ilvl w:val="0"/>
                <w:numId w:val="12"/>
              </w:numPr>
              <w:spacing w:after="0" w:line="240" w:lineRule="auto"/>
              <w:ind w:left="459" w:hanging="459"/>
              <w:rPr>
                <w:rFonts w:cs="Calibri"/>
                <w:b/>
              </w:rPr>
            </w:pPr>
            <w:r>
              <w:rPr>
                <w:rFonts w:cs="Calibri"/>
                <w:b/>
              </w:rPr>
              <w:t>Clackmannanshire Council Training Workshop</w:t>
            </w:r>
          </w:p>
          <w:p w14:paraId="626D7BF4" w14:textId="5041EF9B" w:rsidR="004B53FE" w:rsidRDefault="00FA5276" w:rsidP="00ED659F">
            <w:pPr>
              <w:spacing w:after="0" w:line="240" w:lineRule="auto"/>
              <w:rPr>
                <w:rFonts w:cs="Calibri"/>
              </w:rPr>
            </w:pPr>
            <w:r>
              <w:rPr>
                <w:rFonts w:cs="Calibri"/>
              </w:rPr>
              <w:t>Mrs</w:t>
            </w:r>
            <w:r w:rsidR="00ED659F">
              <w:rPr>
                <w:rFonts w:cs="Calibri"/>
              </w:rPr>
              <w:t xml:space="preserve"> Ward reported on the training she and the Executive Director had provided to Members and officers of Clackmannanshire Council on 14 February 2017.</w:t>
            </w:r>
          </w:p>
          <w:p w14:paraId="3F911A06" w14:textId="4E60680C" w:rsidR="00ED659F" w:rsidRPr="00EB4648" w:rsidRDefault="00ED659F" w:rsidP="00ED659F">
            <w:pPr>
              <w:spacing w:after="0" w:line="240" w:lineRule="auto"/>
              <w:rPr>
                <w:rFonts w:cs="Calibri"/>
                <w:highlight w:val="yellow"/>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3CA035C4" w14:textId="77777777" w:rsidR="004B53FE" w:rsidRDefault="004B53FE" w:rsidP="00FC1D77">
            <w:pPr>
              <w:spacing w:after="0" w:line="240" w:lineRule="auto"/>
              <w:rPr>
                <w:rFonts w:cs="Calibri"/>
                <w:b/>
                <w:highlight w:val="yellow"/>
              </w:rPr>
            </w:pPr>
          </w:p>
          <w:p w14:paraId="693B7505" w14:textId="77777777" w:rsidR="004B53FE" w:rsidRDefault="004B53FE" w:rsidP="00FC1D77">
            <w:pPr>
              <w:spacing w:after="0" w:line="240" w:lineRule="auto"/>
              <w:rPr>
                <w:rFonts w:cs="Calibri"/>
                <w:b/>
                <w:highlight w:val="yellow"/>
              </w:rPr>
            </w:pPr>
          </w:p>
          <w:p w14:paraId="0AC500F6" w14:textId="77777777" w:rsidR="004B53FE" w:rsidRDefault="004B53FE" w:rsidP="00FC1D77">
            <w:pPr>
              <w:spacing w:after="0" w:line="240" w:lineRule="auto"/>
              <w:rPr>
                <w:rFonts w:cs="Calibri"/>
                <w:b/>
              </w:rPr>
            </w:pPr>
          </w:p>
          <w:p w14:paraId="3B1398F9" w14:textId="4A0B7594" w:rsidR="004B53FE" w:rsidRPr="000C0AF8" w:rsidRDefault="004B53FE" w:rsidP="006E7DBA">
            <w:pPr>
              <w:spacing w:after="0" w:line="240" w:lineRule="auto"/>
              <w:rPr>
                <w:rFonts w:cs="Calibri"/>
                <w:b/>
                <w:highlight w:val="yellow"/>
              </w:rPr>
            </w:pPr>
          </w:p>
        </w:tc>
      </w:tr>
      <w:tr w:rsidR="004B53FE" w:rsidRPr="000C0AF8" w14:paraId="5209C316" w14:textId="77777777" w:rsidTr="00ED659F">
        <w:trPr>
          <w:gridAfter w:val="1"/>
          <w:wAfter w:w="283" w:type="dxa"/>
          <w:trHeight w:val="558"/>
        </w:trPr>
        <w:tc>
          <w:tcPr>
            <w:tcW w:w="812" w:type="dxa"/>
            <w:vMerge/>
            <w:tcBorders>
              <w:left w:val="single" w:sz="4" w:space="0" w:color="auto"/>
              <w:right w:val="single" w:sz="4" w:space="0" w:color="auto"/>
            </w:tcBorders>
            <w:shd w:val="clear" w:color="auto" w:fill="FFFFFF"/>
          </w:tcPr>
          <w:p w14:paraId="2DEEA8E4" w14:textId="77777777" w:rsidR="004B53FE" w:rsidRDefault="004B53FE" w:rsidP="00BF6730">
            <w:pPr>
              <w:spacing w:after="0" w:line="240" w:lineRule="auto"/>
              <w:jc w:val="both"/>
              <w:rPr>
                <w:rFonts w:cs="Calibri"/>
                <w:b/>
              </w:rPr>
            </w:pPr>
          </w:p>
        </w:tc>
        <w:tc>
          <w:tcPr>
            <w:tcW w:w="7760" w:type="dxa"/>
            <w:gridSpan w:val="3"/>
            <w:tcBorders>
              <w:top w:val="single" w:sz="4" w:space="0" w:color="auto"/>
              <w:left w:val="single" w:sz="4" w:space="0" w:color="auto"/>
              <w:bottom w:val="single" w:sz="4" w:space="0" w:color="auto"/>
              <w:right w:val="single" w:sz="4" w:space="0" w:color="auto"/>
            </w:tcBorders>
            <w:shd w:val="clear" w:color="auto" w:fill="FFFFFF"/>
          </w:tcPr>
          <w:p w14:paraId="37D1F032" w14:textId="78E664EF" w:rsidR="004B53FE" w:rsidRPr="00FC5D14" w:rsidRDefault="00ED659F" w:rsidP="00FC5D14">
            <w:pPr>
              <w:pStyle w:val="ListParagraph"/>
              <w:numPr>
                <w:ilvl w:val="0"/>
                <w:numId w:val="12"/>
              </w:numPr>
              <w:spacing w:after="0" w:line="240" w:lineRule="auto"/>
              <w:ind w:left="459" w:hanging="459"/>
              <w:rPr>
                <w:rFonts w:cs="Calibri"/>
                <w:b/>
              </w:rPr>
            </w:pPr>
            <w:r>
              <w:rPr>
                <w:rFonts w:cs="Calibri"/>
                <w:b/>
              </w:rPr>
              <w:t>Crofting Commission Training</w:t>
            </w:r>
          </w:p>
          <w:p w14:paraId="2D8A974E" w14:textId="4520BFB7" w:rsidR="00ED659F" w:rsidRDefault="004B53FE" w:rsidP="00ED24E0">
            <w:pPr>
              <w:spacing w:after="0" w:line="240" w:lineRule="auto"/>
              <w:rPr>
                <w:rFonts w:cs="Calibri"/>
              </w:rPr>
            </w:pPr>
            <w:r>
              <w:rPr>
                <w:rFonts w:cs="Calibri"/>
              </w:rPr>
              <w:t>Members noted t</w:t>
            </w:r>
            <w:r w:rsidRPr="00470B3D">
              <w:rPr>
                <w:rFonts w:cs="Calibri"/>
              </w:rPr>
              <w:t>hat</w:t>
            </w:r>
            <w:r w:rsidR="00ED24E0">
              <w:rPr>
                <w:rFonts w:cs="Calibri"/>
              </w:rPr>
              <w:t xml:space="preserve"> the Crofting Commission had asked that the training be held in Inverness. Members agreed it would not be an appropriate use of resources for two Members to provide the training and agreed that the Executive Director should attend with Mrs Gallanders.  Members asked the Executive Team to liaise with the Crofting Commission with regard to the arrangements.</w:t>
            </w:r>
          </w:p>
          <w:p w14:paraId="572A8FAF" w14:textId="419FE114" w:rsidR="00ED24E0" w:rsidRDefault="00ED24E0" w:rsidP="00ED24E0">
            <w:pPr>
              <w:spacing w:after="0" w:line="240" w:lineRule="auto"/>
              <w:rPr>
                <w:rFonts w:cs="Calibri"/>
                <w:b/>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796DCA87" w14:textId="77777777" w:rsidR="00ED24E0" w:rsidRDefault="00ED24E0" w:rsidP="004B53FE">
            <w:pPr>
              <w:spacing w:after="0" w:line="240" w:lineRule="auto"/>
              <w:rPr>
                <w:rFonts w:cs="Calibri"/>
                <w:b/>
              </w:rPr>
            </w:pPr>
          </w:p>
          <w:p w14:paraId="03FFA531" w14:textId="77777777" w:rsidR="00ED24E0" w:rsidRDefault="00ED24E0" w:rsidP="004B53FE">
            <w:pPr>
              <w:spacing w:after="0" w:line="240" w:lineRule="auto"/>
              <w:rPr>
                <w:rFonts w:cs="Calibri"/>
                <w:b/>
              </w:rPr>
            </w:pPr>
          </w:p>
          <w:p w14:paraId="0170FDEE" w14:textId="77777777" w:rsidR="00ED24E0" w:rsidRDefault="00ED24E0" w:rsidP="004B53FE">
            <w:pPr>
              <w:spacing w:after="0" w:line="240" w:lineRule="auto"/>
              <w:rPr>
                <w:rFonts w:cs="Calibri"/>
                <w:b/>
              </w:rPr>
            </w:pPr>
          </w:p>
          <w:p w14:paraId="66CA3E9E" w14:textId="77777777" w:rsidR="00ED24E0" w:rsidRDefault="00ED24E0" w:rsidP="004B53FE">
            <w:pPr>
              <w:spacing w:after="0" w:line="240" w:lineRule="auto"/>
              <w:rPr>
                <w:rFonts w:cs="Calibri"/>
                <w:b/>
              </w:rPr>
            </w:pPr>
          </w:p>
          <w:p w14:paraId="16D705E4" w14:textId="50D43DF3" w:rsidR="004B53FE" w:rsidRDefault="00ED24E0" w:rsidP="004B53FE">
            <w:pPr>
              <w:spacing w:after="0" w:line="240" w:lineRule="auto"/>
              <w:rPr>
                <w:rFonts w:cs="Calibri"/>
                <w:b/>
              </w:rPr>
            </w:pPr>
            <w:r w:rsidRPr="00ED24E0">
              <w:rPr>
                <w:rFonts w:cs="Calibri"/>
                <w:b/>
              </w:rPr>
              <w:t>Executive Team</w:t>
            </w:r>
          </w:p>
        </w:tc>
      </w:tr>
      <w:tr w:rsidR="006E1A85" w:rsidRPr="000C0AF8" w14:paraId="55A2C789" w14:textId="77777777" w:rsidTr="00ED659F">
        <w:trPr>
          <w:gridAfter w:val="1"/>
          <w:wAfter w:w="283" w:type="dxa"/>
          <w:trHeight w:val="558"/>
        </w:trPr>
        <w:tc>
          <w:tcPr>
            <w:tcW w:w="812" w:type="dxa"/>
            <w:tcBorders>
              <w:left w:val="single" w:sz="4" w:space="0" w:color="auto"/>
              <w:right w:val="single" w:sz="4" w:space="0" w:color="auto"/>
            </w:tcBorders>
            <w:shd w:val="clear" w:color="auto" w:fill="FFFFFF"/>
          </w:tcPr>
          <w:p w14:paraId="53F768DA" w14:textId="77777777" w:rsidR="006E1A85" w:rsidRDefault="006E1A85" w:rsidP="00BF6730">
            <w:pPr>
              <w:spacing w:after="0" w:line="240" w:lineRule="auto"/>
              <w:jc w:val="both"/>
              <w:rPr>
                <w:rFonts w:cs="Calibri"/>
                <w:b/>
              </w:rPr>
            </w:pPr>
          </w:p>
        </w:tc>
        <w:tc>
          <w:tcPr>
            <w:tcW w:w="7760" w:type="dxa"/>
            <w:gridSpan w:val="3"/>
            <w:tcBorders>
              <w:top w:val="single" w:sz="4" w:space="0" w:color="auto"/>
              <w:left w:val="single" w:sz="4" w:space="0" w:color="auto"/>
              <w:bottom w:val="single" w:sz="4" w:space="0" w:color="auto"/>
              <w:right w:val="single" w:sz="4" w:space="0" w:color="auto"/>
            </w:tcBorders>
            <w:shd w:val="clear" w:color="auto" w:fill="FFFFFF"/>
          </w:tcPr>
          <w:p w14:paraId="108D0D6C" w14:textId="77777777" w:rsidR="006E1A85" w:rsidRPr="006E1A85" w:rsidRDefault="006E1A85" w:rsidP="006E1A85">
            <w:pPr>
              <w:pStyle w:val="ListParagraph"/>
              <w:numPr>
                <w:ilvl w:val="0"/>
                <w:numId w:val="12"/>
              </w:numPr>
              <w:spacing w:before="100" w:beforeAutospacing="1" w:after="100" w:afterAutospacing="1" w:line="240" w:lineRule="auto"/>
              <w:ind w:left="459" w:hanging="459"/>
              <w:rPr>
                <w:rFonts w:cs="Calibri"/>
                <w:b/>
              </w:rPr>
            </w:pPr>
            <w:r w:rsidRPr="006E1A85">
              <w:rPr>
                <w:rFonts w:cs="Calibri"/>
                <w:b/>
              </w:rPr>
              <w:t>SOLAR</w:t>
            </w:r>
          </w:p>
          <w:p w14:paraId="134E355E" w14:textId="43B788B9" w:rsidR="006E1A85" w:rsidRDefault="006E1A85" w:rsidP="006E1A85">
            <w:pPr>
              <w:pStyle w:val="ListParagraph"/>
              <w:spacing w:before="100" w:beforeAutospacing="1" w:after="100" w:afterAutospacing="1" w:line="240" w:lineRule="auto"/>
              <w:ind w:left="34"/>
              <w:rPr>
                <w:rFonts w:cs="Calibri"/>
              </w:rPr>
            </w:pPr>
            <w:r w:rsidRPr="006E1A85">
              <w:rPr>
                <w:rFonts w:cs="Calibri"/>
              </w:rPr>
              <w:t>Members noted tha</w:t>
            </w:r>
            <w:r>
              <w:rPr>
                <w:rFonts w:cs="Calibri"/>
              </w:rPr>
              <w:t>t</w:t>
            </w:r>
            <w:r w:rsidRPr="006E1A85">
              <w:rPr>
                <w:rFonts w:cs="Calibri"/>
              </w:rPr>
              <w:t xml:space="preserve"> the Convener had been invited and </w:t>
            </w:r>
            <w:r w:rsidR="004C6E69">
              <w:rPr>
                <w:rFonts w:cs="Calibri"/>
              </w:rPr>
              <w:t xml:space="preserve">had </w:t>
            </w:r>
            <w:r w:rsidRPr="006E1A85">
              <w:rPr>
                <w:rFonts w:cs="Calibri"/>
              </w:rPr>
              <w:t xml:space="preserve">agreed to </w:t>
            </w:r>
            <w:r w:rsidR="00325FD2">
              <w:rPr>
                <w:rFonts w:cs="Calibri"/>
              </w:rPr>
              <w:t>present on the topic</w:t>
            </w:r>
            <w:r w:rsidRPr="006E1A85">
              <w:rPr>
                <w:rFonts w:cs="Calibri"/>
              </w:rPr>
              <w:t xml:space="preserve"> ‘Setting Standards - a perspective from the new Convener of the Standards Commission for Scotland’ </w:t>
            </w:r>
            <w:r w:rsidR="00325FD2">
              <w:rPr>
                <w:rFonts w:cs="Calibri"/>
              </w:rPr>
              <w:t>at a plenary session of</w:t>
            </w:r>
            <w:r w:rsidR="00325FD2" w:rsidRPr="006E1A85">
              <w:rPr>
                <w:rFonts w:cs="Calibri"/>
              </w:rPr>
              <w:t xml:space="preserve"> </w:t>
            </w:r>
            <w:r w:rsidRPr="006E1A85">
              <w:rPr>
                <w:rFonts w:cs="Calibri"/>
              </w:rPr>
              <w:t>SOLAR</w:t>
            </w:r>
            <w:r>
              <w:rPr>
                <w:rFonts w:cs="Calibri"/>
              </w:rPr>
              <w:t>’s</w:t>
            </w:r>
            <w:r w:rsidRPr="006E1A85">
              <w:rPr>
                <w:rFonts w:cs="Calibri"/>
              </w:rPr>
              <w:t xml:space="preserve"> Annual Confe</w:t>
            </w:r>
            <w:r>
              <w:rPr>
                <w:rFonts w:cs="Calibri"/>
              </w:rPr>
              <w:t>r</w:t>
            </w:r>
            <w:r w:rsidRPr="006E1A85">
              <w:rPr>
                <w:rFonts w:cs="Calibri"/>
              </w:rPr>
              <w:t xml:space="preserve">ence on 16-17 March 2017.  </w:t>
            </w:r>
          </w:p>
          <w:p w14:paraId="557E4EAF" w14:textId="070CDB85" w:rsidR="006E1A85" w:rsidRPr="006E1A85" w:rsidRDefault="006E1A85" w:rsidP="006E1A85">
            <w:pPr>
              <w:pStyle w:val="ListParagraph"/>
              <w:spacing w:before="100" w:beforeAutospacing="1" w:after="100" w:afterAutospacing="1" w:line="240" w:lineRule="auto"/>
              <w:ind w:left="34"/>
              <w:rPr>
                <w:rFonts w:cs="Calibri"/>
                <w:b/>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699D6118" w14:textId="77777777" w:rsidR="006E1A85" w:rsidRDefault="006E1A85" w:rsidP="004B53FE">
            <w:pPr>
              <w:spacing w:after="0" w:line="240" w:lineRule="auto"/>
              <w:rPr>
                <w:rFonts w:cs="Calibri"/>
                <w:b/>
              </w:rPr>
            </w:pPr>
          </w:p>
        </w:tc>
      </w:tr>
      <w:tr w:rsidR="00FC1D77" w:rsidRPr="000C0AF8" w14:paraId="28B8A916" w14:textId="77777777" w:rsidTr="00B21E8F">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149672F6" w14:textId="4CE2542A" w:rsidR="00FC1D77" w:rsidRPr="00BF6730" w:rsidRDefault="00ED659F" w:rsidP="00BF6730">
            <w:pPr>
              <w:spacing w:after="0" w:line="240" w:lineRule="auto"/>
              <w:jc w:val="both"/>
              <w:rPr>
                <w:rFonts w:cs="Calibri"/>
                <w:b/>
              </w:rPr>
            </w:pPr>
            <w:r>
              <w:rPr>
                <w:rFonts w:cs="Calibri"/>
                <w:b/>
              </w:rPr>
              <w:t>5</w:t>
            </w:r>
            <w:r w:rsidR="00BF6730">
              <w:rPr>
                <w:rFonts w:cs="Calibri"/>
                <w:b/>
              </w:rPr>
              <w:t>.</w:t>
            </w:r>
          </w:p>
        </w:tc>
        <w:tc>
          <w:tcPr>
            <w:tcW w:w="7760" w:type="dxa"/>
            <w:gridSpan w:val="3"/>
            <w:tcBorders>
              <w:top w:val="single" w:sz="4" w:space="0" w:color="auto"/>
              <w:left w:val="single" w:sz="4" w:space="0" w:color="auto"/>
              <w:bottom w:val="single" w:sz="4" w:space="0" w:color="auto"/>
              <w:right w:val="single" w:sz="4" w:space="0" w:color="auto"/>
            </w:tcBorders>
            <w:shd w:val="clear" w:color="auto" w:fill="FFFFFF"/>
          </w:tcPr>
          <w:p w14:paraId="6AC4F60C" w14:textId="77777777" w:rsidR="004D20B9" w:rsidRPr="00DF5294" w:rsidRDefault="004D20B9" w:rsidP="004D20B9">
            <w:pPr>
              <w:spacing w:after="0" w:line="240" w:lineRule="auto"/>
              <w:rPr>
                <w:rFonts w:cs="Calibri"/>
                <w:b/>
              </w:rPr>
            </w:pPr>
            <w:r w:rsidRPr="00DF5294">
              <w:rPr>
                <w:rFonts w:cs="Calibri"/>
                <w:b/>
              </w:rPr>
              <w:t xml:space="preserve">Applications for </w:t>
            </w:r>
            <w:r w:rsidR="00C71814">
              <w:rPr>
                <w:rFonts w:cs="Calibri"/>
                <w:b/>
              </w:rPr>
              <w:t>A</w:t>
            </w:r>
            <w:r w:rsidRPr="00DF5294">
              <w:rPr>
                <w:rFonts w:cs="Calibri"/>
                <w:b/>
              </w:rPr>
              <w:t xml:space="preserve">ppointment of Standards Officers for </w:t>
            </w:r>
            <w:r w:rsidRPr="00DF5294">
              <w:t xml:space="preserve"> </w:t>
            </w:r>
            <w:r w:rsidRPr="00DF5294">
              <w:rPr>
                <w:rFonts w:cs="Calibri"/>
                <w:b/>
              </w:rPr>
              <w:t>Health &amp; Social Care Integration Joint Boards</w:t>
            </w:r>
          </w:p>
          <w:p w14:paraId="21200A6B" w14:textId="1E4F5F7A" w:rsidR="004D20B9" w:rsidRPr="006E1A85" w:rsidRDefault="004D20B9" w:rsidP="004D20B9">
            <w:pPr>
              <w:spacing w:after="0" w:line="240" w:lineRule="auto"/>
              <w:rPr>
                <w:rFonts w:cs="Calibri"/>
              </w:rPr>
            </w:pPr>
            <w:r w:rsidRPr="00DF5294">
              <w:rPr>
                <w:rFonts w:cs="Calibri"/>
              </w:rPr>
              <w:t xml:space="preserve">Members reviewed and approved </w:t>
            </w:r>
            <w:r w:rsidR="00DC0944">
              <w:rPr>
                <w:rFonts w:cs="Calibri"/>
              </w:rPr>
              <w:t xml:space="preserve">the following </w:t>
            </w:r>
            <w:r w:rsidRPr="00DF5294">
              <w:rPr>
                <w:rFonts w:cs="Calibri"/>
              </w:rPr>
              <w:t>appointment</w:t>
            </w:r>
            <w:r w:rsidR="004C6E69">
              <w:rPr>
                <w:rFonts w:cs="Calibri"/>
              </w:rPr>
              <w:t>s</w:t>
            </w:r>
            <w:r w:rsidRPr="00DF5294">
              <w:rPr>
                <w:rFonts w:cs="Calibri"/>
              </w:rPr>
              <w:t xml:space="preserve"> for the role of </w:t>
            </w:r>
            <w:r w:rsidRPr="004F0A4C">
              <w:rPr>
                <w:rFonts w:cs="Calibri"/>
              </w:rPr>
              <w:lastRenderedPageBreak/>
              <w:t xml:space="preserve">Standards </w:t>
            </w:r>
            <w:r w:rsidRPr="006E1A85">
              <w:rPr>
                <w:rFonts w:cs="Calibri"/>
              </w:rPr>
              <w:t>Officer:</w:t>
            </w:r>
          </w:p>
          <w:p w14:paraId="653C7F9D" w14:textId="463D1B1E" w:rsidR="00237BCD" w:rsidRDefault="00416C53" w:rsidP="00ED659F">
            <w:pPr>
              <w:pStyle w:val="ListParagraph"/>
              <w:numPr>
                <w:ilvl w:val="0"/>
                <w:numId w:val="2"/>
              </w:numPr>
              <w:spacing w:after="0" w:line="240" w:lineRule="auto"/>
              <w:rPr>
                <w:rFonts w:cs="Calibri"/>
              </w:rPr>
            </w:pPr>
            <w:r w:rsidRPr="006E1A85">
              <w:rPr>
                <w:rFonts w:cs="Calibri"/>
              </w:rPr>
              <w:t xml:space="preserve">Mr </w:t>
            </w:r>
            <w:r w:rsidR="00ED659F" w:rsidRPr="006E1A85">
              <w:rPr>
                <w:rFonts w:cs="Calibri"/>
              </w:rPr>
              <w:t>David Mitchell</w:t>
            </w:r>
            <w:r w:rsidR="00237BCD" w:rsidRPr="006E1A85">
              <w:rPr>
                <w:rFonts w:cs="Calibri"/>
              </w:rPr>
              <w:t xml:space="preserve">, </w:t>
            </w:r>
            <w:r w:rsidR="00ED659F" w:rsidRPr="006E1A85">
              <w:t xml:space="preserve"> </w:t>
            </w:r>
            <w:r w:rsidR="00ED659F" w:rsidRPr="006E1A85">
              <w:rPr>
                <w:rFonts w:cs="Calibri"/>
              </w:rPr>
              <w:t xml:space="preserve">East Ayrshire Health &amp; Social Care Partnership IJB </w:t>
            </w:r>
          </w:p>
          <w:p w14:paraId="65C7AE9A" w14:textId="1BD39031" w:rsidR="004C6E69" w:rsidRPr="006E1A85" w:rsidRDefault="004C6E69" w:rsidP="004C6E69">
            <w:pPr>
              <w:pStyle w:val="ListParagraph"/>
              <w:spacing w:after="0" w:line="240" w:lineRule="auto"/>
              <w:ind w:left="34"/>
              <w:rPr>
                <w:rFonts w:cs="Calibri"/>
              </w:rPr>
            </w:pPr>
            <w:r w:rsidRPr="004C6E69">
              <w:rPr>
                <w:rFonts w:cs="Calibri"/>
              </w:rPr>
              <w:t xml:space="preserve">Members agreed the Executive Team should provide confirmation of the appointment to the Chief Officer.  </w:t>
            </w:r>
          </w:p>
          <w:p w14:paraId="63EE8E88" w14:textId="105E22AF" w:rsidR="0004038E" w:rsidRDefault="0004038E" w:rsidP="00ED659F">
            <w:pPr>
              <w:pStyle w:val="ListParagraph"/>
              <w:numPr>
                <w:ilvl w:val="0"/>
                <w:numId w:val="2"/>
              </w:numPr>
              <w:spacing w:after="0" w:line="240" w:lineRule="auto"/>
              <w:rPr>
                <w:rFonts w:cs="Calibri"/>
              </w:rPr>
            </w:pPr>
            <w:r w:rsidRPr="006E1A85">
              <w:rPr>
                <w:rFonts w:cs="Calibri"/>
              </w:rPr>
              <w:t>Ms Alison Warrick, Dumfries &amp; Galloway Health &amp; Social Care Partnership IJB</w:t>
            </w:r>
          </w:p>
          <w:p w14:paraId="54E6CC7F" w14:textId="4BCD9B44" w:rsidR="004C6E69" w:rsidRPr="004C6E69" w:rsidRDefault="004C6E69" w:rsidP="004C6E69">
            <w:pPr>
              <w:spacing w:after="0" w:line="240" w:lineRule="auto"/>
              <w:rPr>
                <w:rFonts w:cs="Calibri"/>
              </w:rPr>
            </w:pPr>
            <w:r w:rsidRPr="004C6E69">
              <w:rPr>
                <w:rFonts w:cs="Calibri"/>
              </w:rPr>
              <w:t>Members agreed the Executive Team should provide confirmation of the appointment to the Chief Officer</w:t>
            </w:r>
            <w:r>
              <w:rPr>
                <w:rFonts w:cs="Calibri"/>
              </w:rPr>
              <w:t xml:space="preserve"> and ensure that the </w:t>
            </w:r>
            <w:r w:rsidR="001B47C9">
              <w:rPr>
                <w:rFonts w:cs="Calibri"/>
              </w:rPr>
              <w:t xml:space="preserve">Council would provide </w:t>
            </w:r>
            <w:r>
              <w:rPr>
                <w:rFonts w:cs="Calibri"/>
              </w:rPr>
              <w:t>appropriate support</w:t>
            </w:r>
            <w:r w:rsidR="00325FD2">
              <w:rPr>
                <w:rFonts w:cs="Calibri"/>
              </w:rPr>
              <w:t>.</w:t>
            </w:r>
            <w:r>
              <w:rPr>
                <w:rFonts w:cs="Calibri"/>
              </w:rPr>
              <w:t xml:space="preserve"> </w:t>
            </w:r>
          </w:p>
          <w:p w14:paraId="5F28AC31" w14:textId="59B998D2" w:rsidR="00ED659F" w:rsidRPr="00EB4648" w:rsidRDefault="00ED659F" w:rsidP="004C6E69">
            <w:pPr>
              <w:spacing w:after="0" w:line="240" w:lineRule="auto"/>
              <w:rPr>
                <w:rFonts w:cs="Calibri"/>
                <w:highlight w:val="yellow"/>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3662B3DC" w14:textId="77777777" w:rsidR="001A797A" w:rsidRDefault="001A797A" w:rsidP="00EF1915">
            <w:pPr>
              <w:spacing w:after="0" w:line="240" w:lineRule="auto"/>
              <w:rPr>
                <w:rFonts w:cs="Calibri"/>
                <w:b/>
              </w:rPr>
            </w:pPr>
          </w:p>
          <w:p w14:paraId="039AD385" w14:textId="77777777" w:rsidR="004D20B9" w:rsidRDefault="004D20B9" w:rsidP="00EF1915">
            <w:pPr>
              <w:spacing w:after="0" w:line="240" w:lineRule="auto"/>
              <w:rPr>
                <w:rFonts w:cs="Calibri"/>
                <w:b/>
              </w:rPr>
            </w:pPr>
          </w:p>
          <w:p w14:paraId="65B14B90" w14:textId="77777777" w:rsidR="004D20B9" w:rsidRDefault="004D20B9" w:rsidP="00EF1915">
            <w:pPr>
              <w:spacing w:after="0" w:line="240" w:lineRule="auto"/>
              <w:rPr>
                <w:rFonts w:cs="Calibri"/>
                <w:b/>
              </w:rPr>
            </w:pPr>
          </w:p>
          <w:p w14:paraId="5DACC0A2" w14:textId="77777777" w:rsidR="004D20B9" w:rsidRDefault="004D20B9" w:rsidP="00EF1915">
            <w:pPr>
              <w:spacing w:after="0" w:line="240" w:lineRule="auto"/>
              <w:rPr>
                <w:rFonts w:cs="Calibri"/>
                <w:b/>
              </w:rPr>
            </w:pPr>
          </w:p>
          <w:p w14:paraId="31461502" w14:textId="77777777" w:rsidR="00ED659F" w:rsidRDefault="00ED659F" w:rsidP="00EF1915">
            <w:pPr>
              <w:spacing w:after="0" w:line="240" w:lineRule="auto"/>
              <w:rPr>
                <w:rFonts w:cs="Calibri"/>
                <w:b/>
              </w:rPr>
            </w:pPr>
          </w:p>
          <w:p w14:paraId="6A4AF741" w14:textId="073DC740" w:rsidR="004C6E69" w:rsidRDefault="00C726F8" w:rsidP="00EF1915">
            <w:pPr>
              <w:spacing w:after="0" w:line="240" w:lineRule="auto"/>
              <w:rPr>
                <w:rFonts w:cs="Calibri"/>
                <w:b/>
              </w:rPr>
            </w:pPr>
            <w:r>
              <w:rPr>
                <w:rFonts w:cs="Calibri"/>
                <w:b/>
              </w:rPr>
              <w:t>Executive Team</w:t>
            </w:r>
          </w:p>
          <w:p w14:paraId="58FC5A9E" w14:textId="77777777" w:rsidR="004C6E69" w:rsidRDefault="004C6E69" w:rsidP="00EF1915">
            <w:pPr>
              <w:spacing w:after="0" w:line="240" w:lineRule="auto"/>
              <w:rPr>
                <w:rFonts w:cs="Calibri"/>
                <w:b/>
              </w:rPr>
            </w:pPr>
          </w:p>
          <w:p w14:paraId="39580409" w14:textId="77777777" w:rsidR="004C6E69" w:rsidRDefault="004C6E69" w:rsidP="00EF1915">
            <w:pPr>
              <w:spacing w:after="0" w:line="240" w:lineRule="auto"/>
              <w:rPr>
                <w:rFonts w:cs="Calibri"/>
                <w:b/>
              </w:rPr>
            </w:pPr>
            <w:bookmarkStart w:id="0" w:name="_GoBack"/>
            <w:bookmarkEnd w:id="0"/>
          </w:p>
          <w:p w14:paraId="50DAD711" w14:textId="77777777" w:rsidR="004F0A4C" w:rsidRDefault="004F0A4C" w:rsidP="00EF1915">
            <w:pPr>
              <w:spacing w:after="0" w:line="240" w:lineRule="auto"/>
              <w:rPr>
                <w:rFonts w:cs="Calibri"/>
                <w:b/>
              </w:rPr>
            </w:pPr>
            <w:r>
              <w:rPr>
                <w:rFonts w:cs="Calibri"/>
                <w:b/>
              </w:rPr>
              <w:t>Executive Team</w:t>
            </w:r>
          </w:p>
          <w:p w14:paraId="04BED9DD" w14:textId="4028A40E" w:rsidR="001A797A" w:rsidRPr="00CC7C1E" w:rsidRDefault="001A797A" w:rsidP="00EF1915">
            <w:pPr>
              <w:spacing w:after="0" w:line="240" w:lineRule="auto"/>
              <w:rPr>
                <w:rFonts w:cs="Calibri"/>
                <w:b/>
              </w:rPr>
            </w:pPr>
          </w:p>
        </w:tc>
      </w:tr>
      <w:tr w:rsidR="00091577" w:rsidRPr="009E60F4" w14:paraId="4E17AC97" w14:textId="77777777" w:rsidTr="00C528EC">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4F3B7481" w14:textId="777FE099" w:rsidR="00091577" w:rsidRPr="001B3334" w:rsidRDefault="00ED659F" w:rsidP="00BF6730">
            <w:pPr>
              <w:spacing w:after="0" w:line="240" w:lineRule="auto"/>
              <w:jc w:val="both"/>
              <w:rPr>
                <w:rFonts w:cs="Calibri"/>
                <w:b/>
              </w:rPr>
            </w:pPr>
            <w:r>
              <w:rPr>
                <w:rFonts w:cs="Calibri"/>
                <w:b/>
              </w:rPr>
              <w:lastRenderedPageBreak/>
              <w:t>6</w:t>
            </w:r>
            <w:r w:rsidR="00BF6730" w:rsidRPr="001B3334">
              <w:rPr>
                <w:rFonts w:cs="Calibri"/>
                <w:b/>
              </w:rPr>
              <w:t>.</w:t>
            </w:r>
          </w:p>
        </w:tc>
        <w:tc>
          <w:tcPr>
            <w:tcW w:w="7760" w:type="dxa"/>
            <w:gridSpan w:val="3"/>
            <w:tcBorders>
              <w:top w:val="single" w:sz="4" w:space="0" w:color="auto"/>
              <w:left w:val="single" w:sz="4" w:space="0" w:color="auto"/>
              <w:bottom w:val="single" w:sz="4" w:space="0" w:color="auto"/>
              <w:right w:val="single" w:sz="4" w:space="0" w:color="auto"/>
            </w:tcBorders>
            <w:shd w:val="clear" w:color="auto" w:fill="FFFFFF"/>
          </w:tcPr>
          <w:p w14:paraId="36F14597" w14:textId="4C1BF42F" w:rsidR="00086338" w:rsidRDefault="00ED659F" w:rsidP="004D20B9">
            <w:pPr>
              <w:spacing w:after="0" w:line="240" w:lineRule="auto"/>
              <w:rPr>
                <w:rFonts w:cs="Calibri"/>
                <w:b/>
              </w:rPr>
            </w:pPr>
            <w:r>
              <w:rPr>
                <w:rFonts w:cs="Calibri"/>
                <w:b/>
              </w:rPr>
              <w:t>Risk Register 2017 / 2018</w:t>
            </w:r>
          </w:p>
          <w:p w14:paraId="3ED7661B" w14:textId="736B0BD7" w:rsidR="00F10E38" w:rsidRDefault="00BC46E0" w:rsidP="00ED659F">
            <w:pPr>
              <w:spacing w:after="0" w:line="240" w:lineRule="auto"/>
              <w:rPr>
                <w:rFonts w:cs="Calibri"/>
              </w:rPr>
            </w:pPr>
            <w:r w:rsidRPr="001B3334">
              <w:rPr>
                <w:rFonts w:cs="Calibri"/>
              </w:rPr>
              <w:t xml:space="preserve">Members </w:t>
            </w:r>
            <w:r w:rsidR="00ED659F">
              <w:rPr>
                <w:rFonts w:cs="Calibri"/>
              </w:rPr>
              <w:t>reviewed and, subject to some amendments, agreed the Risk Register for 2017 / 2018.</w:t>
            </w:r>
          </w:p>
          <w:p w14:paraId="01776869" w14:textId="77777777" w:rsidR="00FC6376" w:rsidRDefault="00FC6376" w:rsidP="005E4010">
            <w:pPr>
              <w:spacing w:after="0" w:line="240" w:lineRule="auto"/>
              <w:rPr>
                <w:rFonts w:cs="Calibri"/>
              </w:rPr>
            </w:pPr>
          </w:p>
          <w:p w14:paraId="61EB14DA" w14:textId="38A12FB8" w:rsidR="00ED659F" w:rsidRDefault="00ED659F" w:rsidP="005E4010">
            <w:pPr>
              <w:spacing w:after="0" w:line="240" w:lineRule="auto"/>
              <w:rPr>
                <w:rFonts w:cs="Calibri"/>
              </w:rPr>
            </w:pPr>
            <w:r>
              <w:rPr>
                <w:rFonts w:cs="Calibri"/>
              </w:rPr>
              <w:t xml:space="preserve">Members </w:t>
            </w:r>
            <w:r w:rsidR="005E4010">
              <w:rPr>
                <w:rFonts w:cs="Calibri"/>
              </w:rPr>
              <w:t xml:space="preserve">agreed to discuss and determine the impact and probability score for each risk along with </w:t>
            </w:r>
            <w:r w:rsidR="00320371">
              <w:rPr>
                <w:rFonts w:cs="Calibri"/>
              </w:rPr>
              <w:t xml:space="preserve">identifying </w:t>
            </w:r>
            <w:r w:rsidR="005E4010">
              <w:rPr>
                <w:rFonts w:cs="Calibri"/>
              </w:rPr>
              <w:t>the Standards Commission’s overall tolerance for them at the next meeting so that overall risk scores could be agreed and the risk map populated accordingly.</w:t>
            </w:r>
          </w:p>
          <w:p w14:paraId="229EB491" w14:textId="77777777" w:rsidR="00FC6376" w:rsidRDefault="00FC6376" w:rsidP="005E4010">
            <w:pPr>
              <w:spacing w:after="0" w:line="240" w:lineRule="auto"/>
              <w:rPr>
                <w:rFonts w:cs="Calibri"/>
              </w:rPr>
            </w:pPr>
          </w:p>
          <w:p w14:paraId="6CB22506" w14:textId="20003A27" w:rsidR="006E1A85" w:rsidRDefault="006E1A85" w:rsidP="005E4010">
            <w:pPr>
              <w:spacing w:after="0" w:line="240" w:lineRule="auto"/>
              <w:rPr>
                <w:rFonts w:cs="Calibri"/>
              </w:rPr>
            </w:pPr>
            <w:r>
              <w:rPr>
                <w:rFonts w:cs="Calibri"/>
              </w:rPr>
              <w:t>When discussing the risk concerning</w:t>
            </w:r>
            <w:r w:rsidR="00865EC7">
              <w:rPr>
                <w:rFonts w:cs="Calibri"/>
              </w:rPr>
              <w:t xml:space="preserve"> conducting Hearings in the most transparent and accessible manner, Members agreed it would be useful to produce guidance for unrepresented Respondent’s outlining the process to be following at Hearings and demonstrating this by way of a flowchart.  Members asked the Executive Team to draft such guidance for review at the meeting on 28 March 2017.</w:t>
            </w:r>
          </w:p>
          <w:p w14:paraId="7986FD55" w14:textId="39F0B20B" w:rsidR="005E4010" w:rsidRPr="001B3334" w:rsidRDefault="005E4010" w:rsidP="005E4010">
            <w:pPr>
              <w:spacing w:after="0" w:line="240" w:lineRule="auto"/>
              <w:rPr>
                <w:rFonts w:cs="Calibri"/>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4AB1A5A2" w14:textId="77777777" w:rsidR="00AF0A1D" w:rsidRPr="009E60F4" w:rsidRDefault="00AF0A1D" w:rsidP="0033013F">
            <w:pPr>
              <w:spacing w:after="0" w:line="240" w:lineRule="auto"/>
              <w:rPr>
                <w:rFonts w:cs="Calibri"/>
                <w:b/>
              </w:rPr>
            </w:pPr>
          </w:p>
          <w:p w14:paraId="1C2C0627" w14:textId="77777777" w:rsidR="00CC49AB" w:rsidRDefault="00CC49AB" w:rsidP="0033013F">
            <w:pPr>
              <w:spacing w:after="0" w:line="240" w:lineRule="auto"/>
              <w:rPr>
                <w:rFonts w:cs="Calibri"/>
                <w:b/>
              </w:rPr>
            </w:pPr>
          </w:p>
          <w:p w14:paraId="5FF4D8E3" w14:textId="77777777" w:rsidR="006655E1" w:rsidRDefault="006655E1" w:rsidP="0033013F">
            <w:pPr>
              <w:spacing w:after="0" w:line="240" w:lineRule="auto"/>
              <w:rPr>
                <w:rFonts w:cs="Calibri"/>
                <w:b/>
              </w:rPr>
            </w:pPr>
          </w:p>
          <w:p w14:paraId="126FAA8F" w14:textId="77777777" w:rsidR="00A528E3" w:rsidRDefault="00A528E3" w:rsidP="0033013F">
            <w:pPr>
              <w:spacing w:after="0" w:line="240" w:lineRule="auto"/>
              <w:rPr>
                <w:rFonts w:cs="Calibri"/>
                <w:b/>
              </w:rPr>
            </w:pPr>
          </w:p>
          <w:p w14:paraId="7C153B72" w14:textId="77777777" w:rsidR="00865EC7" w:rsidRDefault="00865EC7" w:rsidP="0033013F">
            <w:pPr>
              <w:spacing w:after="0" w:line="240" w:lineRule="auto"/>
              <w:rPr>
                <w:rFonts w:cs="Calibri"/>
                <w:b/>
              </w:rPr>
            </w:pPr>
          </w:p>
          <w:p w14:paraId="3E80E204" w14:textId="77777777" w:rsidR="00865EC7" w:rsidRDefault="00865EC7" w:rsidP="0033013F">
            <w:pPr>
              <w:spacing w:after="0" w:line="240" w:lineRule="auto"/>
              <w:rPr>
                <w:rFonts w:cs="Calibri"/>
                <w:b/>
              </w:rPr>
            </w:pPr>
          </w:p>
          <w:p w14:paraId="68118E61" w14:textId="77777777" w:rsidR="00C726F8" w:rsidRDefault="00C726F8" w:rsidP="0033013F">
            <w:pPr>
              <w:spacing w:after="0" w:line="240" w:lineRule="auto"/>
              <w:rPr>
                <w:rFonts w:cs="Calibri"/>
                <w:b/>
              </w:rPr>
            </w:pPr>
          </w:p>
          <w:p w14:paraId="04901EEC" w14:textId="77777777" w:rsidR="00C726F8" w:rsidRDefault="00C726F8" w:rsidP="0033013F">
            <w:pPr>
              <w:spacing w:after="0" w:line="240" w:lineRule="auto"/>
              <w:rPr>
                <w:rFonts w:cs="Calibri"/>
                <w:b/>
              </w:rPr>
            </w:pPr>
          </w:p>
          <w:p w14:paraId="716B8B57" w14:textId="77777777" w:rsidR="00865EC7" w:rsidRDefault="00865EC7" w:rsidP="0033013F">
            <w:pPr>
              <w:spacing w:after="0" w:line="240" w:lineRule="auto"/>
              <w:rPr>
                <w:rFonts w:cs="Calibri"/>
                <w:b/>
              </w:rPr>
            </w:pPr>
          </w:p>
          <w:p w14:paraId="55967435" w14:textId="77777777" w:rsidR="00865EC7" w:rsidRDefault="00865EC7" w:rsidP="0033013F">
            <w:pPr>
              <w:spacing w:after="0" w:line="240" w:lineRule="auto"/>
              <w:rPr>
                <w:rFonts w:cs="Calibri"/>
                <w:b/>
              </w:rPr>
            </w:pPr>
          </w:p>
          <w:p w14:paraId="3D81EC87" w14:textId="77777777" w:rsidR="00FC6376" w:rsidRDefault="00FC6376" w:rsidP="0033013F">
            <w:pPr>
              <w:spacing w:after="0" w:line="240" w:lineRule="auto"/>
              <w:rPr>
                <w:rFonts w:cs="Calibri"/>
                <w:b/>
              </w:rPr>
            </w:pPr>
          </w:p>
          <w:p w14:paraId="60EEDB1B" w14:textId="2662DE23" w:rsidR="00873AB8" w:rsidRDefault="003C4742" w:rsidP="0033013F">
            <w:pPr>
              <w:spacing w:after="0" w:line="240" w:lineRule="auto"/>
              <w:rPr>
                <w:rFonts w:cs="Calibri"/>
                <w:b/>
              </w:rPr>
            </w:pPr>
            <w:r>
              <w:rPr>
                <w:rFonts w:cs="Calibri"/>
                <w:b/>
              </w:rPr>
              <w:t xml:space="preserve">Executive </w:t>
            </w:r>
            <w:r w:rsidR="005E4010">
              <w:rPr>
                <w:rFonts w:cs="Calibri"/>
                <w:b/>
              </w:rPr>
              <w:t>Team</w:t>
            </w:r>
          </w:p>
          <w:p w14:paraId="46588CA0" w14:textId="77777777" w:rsidR="00873AB8" w:rsidRPr="009E60F4" w:rsidRDefault="00873AB8" w:rsidP="0033013F">
            <w:pPr>
              <w:spacing w:after="0" w:line="240" w:lineRule="auto"/>
              <w:rPr>
                <w:rFonts w:cs="Calibri"/>
                <w:b/>
              </w:rPr>
            </w:pPr>
          </w:p>
        </w:tc>
      </w:tr>
      <w:tr w:rsidR="00CC7C1E" w:rsidRPr="000C0AF8" w14:paraId="40BE435C" w14:textId="77777777" w:rsidTr="00C528EC">
        <w:trPr>
          <w:gridAfter w:val="1"/>
          <w:wAfter w:w="283" w:type="dxa"/>
          <w:trHeight w:val="274"/>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7D450E38" w14:textId="687500AF" w:rsidR="00CC7C1E" w:rsidRPr="00BF6730" w:rsidRDefault="00ED659F" w:rsidP="00BF6730">
            <w:pPr>
              <w:spacing w:after="0" w:line="240" w:lineRule="auto"/>
              <w:jc w:val="both"/>
              <w:rPr>
                <w:rFonts w:cs="Calibri"/>
                <w:b/>
              </w:rPr>
            </w:pPr>
            <w:r>
              <w:rPr>
                <w:rFonts w:cs="Calibri"/>
                <w:b/>
              </w:rPr>
              <w:t>7</w:t>
            </w:r>
            <w:r w:rsidR="00BF6730">
              <w:rPr>
                <w:rFonts w:cs="Calibri"/>
                <w:b/>
              </w:rPr>
              <w:t>.</w:t>
            </w:r>
          </w:p>
        </w:tc>
        <w:tc>
          <w:tcPr>
            <w:tcW w:w="7760" w:type="dxa"/>
            <w:gridSpan w:val="3"/>
            <w:tcBorders>
              <w:top w:val="single" w:sz="4" w:space="0" w:color="auto"/>
              <w:left w:val="single" w:sz="4" w:space="0" w:color="auto"/>
              <w:bottom w:val="single" w:sz="4" w:space="0" w:color="auto"/>
              <w:right w:val="single" w:sz="4" w:space="0" w:color="auto"/>
            </w:tcBorders>
            <w:shd w:val="clear" w:color="auto" w:fill="FFFFFF"/>
          </w:tcPr>
          <w:p w14:paraId="5D3F73BA" w14:textId="77777777" w:rsidR="004D20B9" w:rsidRDefault="00F10E38" w:rsidP="00C528EC">
            <w:pPr>
              <w:spacing w:after="0" w:line="240" w:lineRule="auto"/>
              <w:rPr>
                <w:rFonts w:cs="Calibri"/>
                <w:b/>
              </w:rPr>
            </w:pPr>
            <w:r>
              <w:rPr>
                <w:rFonts w:cs="Calibri"/>
                <w:b/>
              </w:rPr>
              <w:t>Consultation on Proposed Changes to the Councillors’ Code of Conduct</w:t>
            </w:r>
          </w:p>
          <w:p w14:paraId="66349254" w14:textId="77777777" w:rsidR="00865EC7" w:rsidRDefault="004D20B9" w:rsidP="006B6EB3">
            <w:pPr>
              <w:spacing w:after="0" w:line="240" w:lineRule="auto"/>
              <w:rPr>
                <w:rFonts w:cs="Calibri"/>
              </w:rPr>
            </w:pPr>
            <w:r w:rsidRPr="006655E1">
              <w:rPr>
                <w:rFonts w:cs="Calibri"/>
              </w:rPr>
              <w:t xml:space="preserve">Members </w:t>
            </w:r>
            <w:r w:rsidR="00ED659F">
              <w:rPr>
                <w:rFonts w:cs="Calibri"/>
              </w:rPr>
              <w:t xml:space="preserve">noted the Executive Team had identified three potential </w:t>
            </w:r>
            <w:r w:rsidR="005E4010">
              <w:rPr>
                <w:rFonts w:cs="Calibri"/>
              </w:rPr>
              <w:t>options in terms of the Standards Commission’s response to the consultation.  Members agreed</w:t>
            </w:r>
            <w:r w:rsidR="00865EC7">
              <w:rPr>
                <w:rFonts w:cs="Calibri"/>
              </w:rPr>
              <w:t xml:space="preserve"> these options were:</w:t>
            </w:r>
          </w:p>
          <w:p w14:paraId="2D2F05B3" w14:textId="473FE4E2" w:rsidR="00865EC7" w:rsidRDefault="00865EC7" w:rsidP="00865EC7">
            <w:pPr>
              <w:pStyle w:val="ListParagraph"/>
              <w:numPr>
                <w:ilvl w:val="0"/>
                <w:numId w:val="14"/>
              </w:numPr>
              <w:spacing w:after="0" w:line="240" w:lineRule="auto"/>
              <w:ind w:left="317" w:hanging="283"/>
              <w:rPr>
                <w:rFonts w:cstheme="minorHAnsi"/>
              </w:rPr>
            </w:pPr>
            <w:r>
              <w:rPr>
                <w:rFonts w:cstheme="minorHAnsi"/>
              </w:rPr>
              <w:t>Granting a</w:t>
            </w:r>
            <w:r w:rsidRPr="00A270A1">
              <w:rPr>
                <w:rFonts w:cstheme="minorHAnsi"/>
              </w:rPr>
              <w:t xml:space="preserve"> specific exclusion in respect of </w:t>
            </w:r>
            <w:r>
              <w:rPr>
                <w:rFonts w:cstheme="minorHAnsi"/>
              </w:rPr>
              <w:t>regional transport partnership (</w:t>
            </w:r>
            <w:r w:rsidRPr="00A270A1">
              <w:rPr>
                <w:rFonts w:cstheme="minorHAnsi"/>
              </w:rPr>
              <w:t>RTPs</w:t>
            </w:r>
            <w:r>
              <w:rPr>
                <w:rFonts w:cstheme="minorHAnsi"/>
              </w:rPr>
              <w:t>)</w:t>
            </w:r>
            <w:r w:rsidRPr="00A270A1">
              <w:rPr>
                <w:rFonts w:cstheme="minorHAnsi"/>
              </w:rPr>
              <w:t xml:space="preserve"> </w:t>
            </w:r>
            <w:r>
              <w:rPr>
                <w:rFonts w:cstheme="minorHAnsi"/>
              </w:rPr>
              <w:t xml:space="preserve">to </w:t>
            </w:r>
            <w:r w:rsidRPr="00A270A1">
              <w:rPr>
                <w:rFonts w:cstheme="minorHAnsi"/>
              </w:rPr>
              <w:t>apply to all quasi-judicial and regulatory matters</w:t>
            </w:r>
            <w:r>
              <w:rPr>
                <w:rFonts w:cstheme="minorHAnsi"/>
              </w:rPr>
              <w:t xml:space="preserve"> but with the same caveats are currently apply to other bodies covered by the specific exclusion at paragraph 5.18(2)(</w:t>
            </w:r>
            <w:proofErr w:type="spellStart"/>
            <w:r>
              <w:rPr>
                <w:rFonts w:cstheme="minorHAnsi"/>
              </w:rPr>
              <w:t>i</w:t>
            </w:r>
            <w:proofErr w:type="spellEnd"/>
            <w:r>
              <w:rPr>
                <w:rFonts w:cstheme="minorHAnsi"/>
              </w:rPr>
              <w:t>);</w:t>
            </w:r>
          </w:p>
          <w:p w14:paraId="7BE6BD97" w14:textId="321C543C" w:rsidR="00865EC7" w:rsidRPr="00865EC7" w:rsidRDefault="00865EC7" w:rsidP="00865EC7">
            <w:pPr>
              <w:pStyle w:val="ListParagraph"/>
              <w:numPr>
                <w:ilvl w:val="0"/>
                <w:numId w:val="14"/>
              </w:numPr>
              <w:ind w:left="317" w:hanging="283"/>
              <w:rPr>
                <w:rFonts w:cstheme="minorHAnsi"/>
              </w:rPr>
            </w:pPr>
            <w:r w:rsidRPr="00865EC7">
              <w:rPr>
                <w:rFonts w:cstheme="minorHAnsi"/>
              </w:rPr>
              <w:t>Granting a specific exclusion in respect of RTPs to apply to all quasi-judicial and regulatory matters but without the same caveats are currently apply to other bodies covered by the specific exclusion at paragraph 5.18(2)(</w:t>
            </w:r>
            <w:proofErr w:type="spellStart"/>
            <w:r w:rsidRPr="00865EC7">
              <w:rPr>
                <w:rFonts w:cstheme="minorHAnsi"/>
              </w:rPr>
              <w:t>i</w:t>
            </w:r>
            <w:proofErr w:type="spellEnd"/>
            <w:r w:rsidRPr="00865EC7">
              <w:rPr>
                <w:rFonts w:cstheme="minorHAnsi"/>
              </w:rPr>
              <w:t>)</w:t>
            </w:r>
            <w:r>
              <w:rPr>
                <w:rFonts w:cstheme="minorHAnsi"/>
              </w:rPr>
              <w:t>; and</w:t>
            </w:r>
          </w:p>
          <w:p w14:paraId="58EE6FAD" w14:textId="77777777" w:rsidR="00865EC7" w:rsidRDefault="00865EC7" w:rsidP="00865EC7">
            <w:pPr>
              <w:pStyle w:val="ListParagraph"/>
              <w:numPr>
                <w:ilvl w:val="0"/>
                <w:numId w:val="14"/>
              </w:numPr>
              <w:ind w:left="317" w:hanging="283"/>
              <w:rPr>
                <w:rFonts w:cstheme="minorHAnsi"/>
              </w:rPr>
            </w:pPr>
            <w:r w:rsidRPr="00865EC7">
              <w:rPr>
                <w:rFonts w:cstheme="minorHAnsi"/>
              </w:rPr>
              <w:t>Granting an exclusion to RTPs that is analogous to the specific exclusion covering Members of the Cairngorms National Park Authority at paragraph 5.18(2</w:t>
            </w:r>
            <w:proofErr w:type="gramStart"/>
            <w:r w:rsidRPr="00865EC7">
              <w:rPr>
                <w:rFonts w:cstheme="minorHAnsi"/>
              </w:rPr>
              <w:t>)(</w:t>
            </w:r>
            <w:proofErr w:type="gramEnd"/>
            <w:r w:rsidRPr="00865EC7">
              <w:rPr>
                <w:rFonts w:cstheme="minorHAnsi"/>
              </w:rPr>
              <w:t>ii)</w:t>
            </w:r>
            <w:r>
              <w:rPr>
                <w:rFonts w:cstheme="minorHAnsi"/>
              </w:rPr>
              <w:t>.</w:t>
            </w:r>
          </w:p>
          <w:p w14:paraId="6675BED9" w14:textId="14A3AFC1" w:rsidR="00865EC7" w:rsidRPr="00865EC7" w:rsidRDefault="00865EC7" w:rsidP="00865EC7">
            <w:pPr>
              <w:ind w:left="34"/>
              <w:rPr>
                <w:rFonts w:cstheme="minorHAnsi"/>
              </w:rPr>
            </w:pPr>
            <w:r>
              <w:rPr>
                <w:rFonts w:cstheme="minorHAnsi"/>
              </w:rPr>
              <w:t xml:space="preserve">Members agreed in terms of option 2) that creating a </w:t>
            </w:r>
            <w:r w:rsidRPr="00865EC7">
              <w:rPr>
                <w:rFonts w:cstheme="minorHAnsi"/>
              </w:rPr>
              <w:t xml:space="preserve">specific exclusion for RTPs </w:t>
            </w:r>
            <w:r>
              <w:rPr>
                <w:rFonts w:cstheme="minorHAnsi"/>
              </w:rPr>
              <w:t>which was</w:t>
            </w:r>
            <w:r w:rsidRPr="00865EC7">
              <w:rPr>
                <w:rFonts w:cstheme="minorHAnsi"/>
              </w:rPr>
              <w:t xml:space="preserve"> wider than the existing one at paragraph 5.18(2)(</w:t>
            </w:r>
            <w:proofErr w:type="spellStart"/>
            <w:r w:rsidRPr="00865EC7">
              <w:rPr>
                <w:rFonts w:cstheme="minorHAnsi"/>
              </w:rPr>
              <w:t>i</w:t>
            </w:r>
            <w:proofErr w:type="spellEnd"/>
            <w:r w:rsidRPr="00865EC7">
              <w:rPr>
                <w:rFonts w:cstheme="minorHAnsi"/>
              </w:rPr>
              <w:t xml:space="preserve">) </w:t>
            </w:r>
            <w:r>
              <w:rPr>
                <w:rFonts w:cstheme="minorHAnsi"/>
              </w:rPr>
              <w:t>(in that it</w:t>
            </w:r>
            <w:r w:rsidRPr="00865EC7">
              <w:rPr>
                <w:rFonts w:cstheme="minorHAnsi"/>
              </w:rPr>
              <w:t xml:space="preserve"> </w:t>
            </w:r>
            <w:r>
              <w:rPr>
                <w:rFonts w:cstheme="minorHAnsi"/>
              </w:rPr>
              <w:t>would also apply</w:t>
            </w:r>
            <w:r w:rsidRPr="00865EC7">
              <w:rPr>
                <w:rFonts w:cstheme="minorHAnsi"/>
              </w:rPr>
              <w:t xml:space="preserve"> to regulatory and quasi-judicial matters even when the RTP </w:t>
            </w:r>
            <w:r>
              <w:rPr>
                <w:rFonts w:cstheme="minorHAnsi"/>
              </w:rPr>
              <w:t>was</w:t>
            </w:r>
            <w:r w:rsidRPr="00865EC7">
              <w:rPr>
                <w:rFonts w:cstheme="minorHAnsi"/>
              </w:rPr>
              <w:t xml:space="preserve"> making an objection or representation or has a material interest concerning such a licence, consent or approval</w:t>
            </w:r>
            <w:r>
              <w:rPr>
                <w:rFonts w:cstheme="minorHAnsi"/>
              </w:rPr>
              <w:t xml:space="preserve">) would </w:t>
            </w:r>
            <w:r w:rsidRPr="00865EC7">
              <w:rPr>
                <w:rFonts w:cstheme="minorHAnsi"/>
              </w:rPr>
              <w:t xml:space="preserve">effectively remove the safeguards the Code provides in respect of the conflict between the interests of different organisations.   </w:t>
            </w:r>
            <w:r>
              <w:rPr>
                <w:rFonts w:cstheme="minorHAnsi"/>
              </w:rPr>
              <w:t xml:space="preserve">Members agreed this </w:t>
            </w:r>
            <w:r w:rsidRPr="00865EC7">
              <w:rPr>
                <w:rFonts w:cstheme="minorHAnsi"/>
              </w:rPr>
              <w:t>would be contrary to the spirit and intent of the Code, which was designed to prevent councillors from taking decisions when they had a conflict of interest, in order to ensure constituents were confident such decisions were being taken in their interests.</w:t>
            </w:r>
          </w:p>
          <w:p w14:paraId="61917CBE" w14:textId="27D3F203" w:rsidR="00416C53" w:rsidRDefault="00865EC7" w:rsidP="006B6EB3">
            <w:pPr>
              <w:spacing w:after="0" w:line="240" w:lineRule="auto"/>
              <w:rPr>
                <w:rFonts w:cs="Calibri"/>
              </w:rPr>
            </w:pPr>
            <w:r>
              <w:rPr>
                <w:rFonts w:cs="Calibri"/>
              </w:rPr>
              <w:t xml:space="preserve">Members </w:t>
            </w:r>
            <w:r w:rsidR="004347CB">
              <w:t>noted</w:t>
            </w:r>
            <w:r w:rsidR="004347CB">
              <w:rPr>
                <w:rFonts w:cs="Calibri"/>
              </w:rPr>
              <w:t>, in terms of option 3)</w:t>
            </w:r>
            <w:r w:rsidR="001B47C9">
              <w:rPr>
                <w:rFonts w:cs="Calibri"/>
              </w:rPr>
              <w:t>,</w:t>
            </w:r>
            <w:r w:rsidR="004347CB">
              <w:rPr>
                <w:rFonts w:cs="Calibri"/>
              </w:rPr>
              <w:t xml:space="preserve"> </w:t>
            </w:r>
            <w:r w:rsidR="001B47C9">
              <w:t>that</w:t>
            </w:r>
            <w:r w:rsidR="001B47C9">
              <w:rPr>
                <w:rFonts w:cs="Calibri"/>
              </w:rPr>
              <w:t xml:space="preserve"> </w:t>
            </w:r>
            <w:r w:rsidR="004347CB">
              <w:rPr>
                <w:rFonts w:cs="Calibri"/>
              </w:rPr>
              <w:t xml:space="preserve">if an </w:t>
            </w:r>
            <w:r w:rsidR="004347CB" w:rsidRPr="004347CB">
              <w:rPr>
                <w:rFonts w:cs="Calibri"/>
              </w:rPr>
              <w:t xml:space="preserve">exclusion </w:t>
            </w:r>
            <w:r w:rsidR="004347CB">
              <w:rPr>
                <w:rFonts w:cs="Calibri"/>
              </w:rPr>
              <w:t>was created for</w:t>
            </w:r>
            <w:r w:rsidR="004347CB" w:rsidRPr="004347CB">
              <w:rPr>
                <w:rFonts w:cs="Calibri"/>
              </w:rPr>
              <w:t xml:space="preserve"> RTPs that </w:t>
            </w:r>
            <w:r w:rsidR="004347CB">
              <w:rPr>
                <w:rFonts w:cs="Calibri"/>
              </w:rPr>
              <w:t>was</w:t>
            </w:r>
            <w:r w:rsidR="004347CB" w:rsidRPr="004347CB">
              <w:rPr>
                <w:rFonts w:cs="Calibri"/>
              </w:rPr>
              <w:t xml:space="preserve"> analogous to the specific exclusion covering Members of the Cairngorms National Park Authority at paragraph 5.18(2</w:t>
            </w:r>
            <w:proofErr w:type="gramStart"/>
            <w:r w:rsidR="004347CB" w:rsidRPr="004347CB">
              <w:rPr>
                <w:rFonts w:cs="Calibri"/>
              </w:rPr>
              <w:t>)(</w:t>
            </w:r>
            <w:proofErr w:type="gramEnd"/>
            <w:r w:rsidR="004347CB" w:rsidRPr="004347CB">
              <w:rPr>
                <w:rFonts w:cs="Calibri"/>
              </w:rPr>
              <w:t>ii)</w:t>
            </w:r>
            <w:r w:rsidR="001B47C9">
              <w:rPr>
                <w:rFonts w:cs="Calibri"/>
              </w:rPr>
              <w:t>,</w:t>
            </w:r>
            <w:r w:rsidR="004347CB">
              <w:rPr>
                <w:rFonts w:cs="Calibri"/>
              </w:rPr>
              <w:t>s</w:t>
            </w:r>
            <w:r w:rsidR="004347CB" w:rsidRPr="004347CB">
              <w:rPr>
                <w:rFonts w:cs="Calibri"/>
              </w:rPr>
              <w:t xml:space="preserve">uch a specific exclusion would be narrower </w:t>
            </w:r>
            <w:r w:rsidR="001B47C9">
              <w:rPr>
                <w:rFonts w:cs="Calibri"/>
              </w:rPr>
              <w:t>as</w:t>
            </w:r>
            <w:r w:rsidR="004347CB" w:rsidRPr="004347CB">
              <w:rPr>
                <w:rFonts w:cs="Calibri"/>
              </w:rPr>
              <w:t xml:space="preserve"> it would only apply where the councillor member of the RTP had not taken part in the decision to make comment, representations and objections at the RTP and did not attend the meeting to decide the comment, representations and objections.  </w:t>
            </w:r>
            <w:r w:rsidR="004347CB">
              <w:rPr>
                <w:rFonts w:cs="Calibri"/>
              </w:rPr>
              <w:t xml:space="preserve">Members </w:t>
            </w:r>
            <w:r w:rsidR="004347CB" w:rsidRPr="004347CB">
              <w:rPr>
                <w:rFonts w:cs="Calibri"/>
              </w:rPr>
              <w:t>agreed</w:t>
            </w:r>
            <w:r w:rsidR="004347CB">
              <w:rPr>
                <w:rFonts w:cs="Calibri"/>
              </w:rPr>
              <w:t xml:space="preserve"> this option was also problematic in that </w:t>
            </w:r>
            <w:r w:rsidR="004347CB" w:rsidRPr="004347CB">
              <w:rPr>
                <w:rFonts w:cs="Calibri"/>
              </w:rPr>
              <w:t xml:space="preserve">it could lead to councillor members of RTPs refusing to be on a RTP so that they could still take </w:t>
            </w:r>
            <w:r w:rsidR="004347CB" w:rsidRPr="004347CB">
              <w:rPr>
                <w:rFonts w:cs="Calibri"/>
              </w:rPr>
              <w:lastRenderedPageBreak/>
              <w:t xml:space="preserve">part in discussion and voting on major planning applications before their Council.  Another consideration </w:t>
            </w:r>
            <w:r w:rsidR="004347CB">
              <w:rPr>
                <w:rFonts w:cs="Calibri"/>
              </w:rPr>
              <w:t>was that</w:t>
            </w:r>
            <w:r w:rsidR="004347CB" w:rsidRPr="004347CB">
              <w:rPr>
                <w:rFonts w:cs="Calibri"/>
              </w:rPr>
              <w:t xml:space="preserve"> if </w:t>
            </w:r>
            <w:r w:rsidR="004C6E69">
              <w:rPr>
                <w:rFonts w:cs="Calibri"/>
              </w:rPr>
              <w:t>councillor members</w:t>
            </w:r>
            <w:r w:rsidR="004347CB" w:rsidRPr="004347CB">
              <w:rPr>
                <w:rFonts w:cs="Calibri"/>
              </w:rPr>
              <w:t xml:space="preserve"> refrained from attending meetings of the RTPs, only external members of RTPs would remain in the meetings, which could lead to quorum issues.  </w:t>
            </w:r>
            <w:r w:rsidR="004347CB">
              <w:rPr>
                <w:rFonts w:cs="Calibri"/>
              </w:rPr>
              <w:t xml:space="preserve">Members considered it was </w:t>
            </w:r>
            <w:r w:rsidR="004347CB" w:rsidRPr="004347CB">
              <w:rPr>
                <w:rFonts w:cs="Calibri"/>
              </w:rPr>
              <w:t xml:space="preserve">arguable that this would also defeat the statutory purpose of a RTP.  </w:t>
            </w:r>
            <w:r w:rsidR="004347CB">
              <w:rPr>
                <w:rFonts w:cs="Calibri"/>
              </w:rPr>
              <w:t>It may be that the existing</w:t>
            </w:r>
            <w:r w:rsidR="004347CB" w:rsidRPr="004347CB">
              <w:rPr>
                <w:rFonts w:cs="Calibri"/>
              </w:rPr>
              <w:t xml:space="preserve"> quorum requirements of RTPs would have to be altered if this option was adopted.  </w:t>
            </w:r>
            <w:r w:rsidR="004C6E69">
              <w:rPr>
                <w:rFonts w:cs="Calibri"/>
              </w:rPr>
              <w:t xml:space="preserve">Members noted that it had been suggested that, as an alternative, </w:t>
            </w:r>
            <w:r w:rsidR="004347CB" w:rsidRPr="004347CB">
              <w:rPr>
                <w:rFonts w:cs="Calibri"/>
              </w:rPr>
              <w:t xml:space="preserve">the RTP could delegate the making of comments, representations and objections to officers.  </w:t>
            </w:r>
            <w:r w:rsidR="004347CB">
              <w:rPr>
                <w:rFonts w:cs="Calibri"/>
              </w:rPr>
              <w:t xml:space="preserve">Members </w:t>
            </w:r>
            <w:r w:rsidR="004C6E69">
              <w:rPr>
                <w:rFonts w:cs="Calibri"/>
              </w:rPr>
              <w:t>considered</w:t>
            </w:r>
            <w:r w:rsidR="004347CB">
              <w:rPr>
                <w:rFonts w:cs="Calibri"/>
              </w:rPr>
              <w:t xml:space="preserve">, </w:t>
            </w:r>
            <w:r w:rsidR="004347CB" w:rsidRPr="004347CB">
              <w:rPr>
                <w:rFonts w:cs="Calibri"/>
              </w:rPr>
              <w:t>however, t</w:t>
            </w:r>
            <w:r w:rsidR="004347CB">
              <w:rPr>
                <w:rFonts w:cs="Calibri"/>
              </w:rPr>
              <w:t>hat t</w:t>
            </w:r>
            <w:r w:rsidR="004347CB" w:rsidRPr="004347CB">
              <w:rPr>
                <w:rFonts w:cs="Calibri"/>
              </w:rPr>
              <w:t xml:space="preserve">he role of </w:t>
            </w:r>
            <w:r w:rsidR="004347CB">
              <w:rPr>
                <w:rFonts w:cs="Calibri"/>
              </w:rPr>
              <w:t xml:space="preserve">RTP </w:t>
            </w:r>
            <w:r w:rsidR="004347CB" w:rsidRPr="004347CB">
              <w:rPr>
                <w:rFonts w:cs="Calibri"/>
              </w:rPr>
              <w:t xml:space="preserve">Members </w:t>
            </w:r>
            <w:r w:rsidR="004C6E69">
              <w:rPr>
                <w:rFonts w:cs="Calibri"/>
              </w:rPr>
              <w:t>c</w:t>
            </w:r>
            <w:r w:rsidR="004347CB" w:rsidRPr="004347CB">
              <w:rPr>
                <w:rFonts w:cs="Calibri"/>
              </w:rPr>
              <w:t xml:space="preserve">ould be diminished by such a separation </w:t>
            </w:r>
            <w:r w:rsidR="004347CB">
              <w:rPr>
                <w:rFonts w:cs="Calibri"/>
              </w:rPr>
              <w:t>and, in any event, it was</w:t>
            </w:r>
            <w:r w:rsidR="004347CB" w:rsidRPr="004347CB">
              <w:rPr>
                <w:rFonts w:cs="Calibri"/>
              </w:rPr>
              <w:t xml:space="preserve"> arguable such a separation would be artificial (if officers were effectively only voicing what Members had determined) and would not necessarily solve the issue.</w:t>
            </w:r>
          </w:p>
          <w:p w14:paraId="4579FBAF" w14:textId="77777777" w:rsidR="004347CB" w:rsidRDefault="004347CB" w:rsidP="006B6EB3">
            <w:pPr>
              <w:spacing w:after="0" w:line="240" w:lineRule="auto"/>
              <w:rPr>
                <w:rFonts w:cs="Calibri"/>
              </w:rPr>
            </w:pPr>
          </w:p>
          <w:p w14:paraId="339615C6" w14:textId="1AB07BA4" w:rsidR="004C6E69" w:rsidRDefault="004347CB" w:rsidP="004347CB">
            <w:pPr>
              <w:spacing w:after="0" w:line="240" w:lineRule="auto"/>
              <w:rPr>
                <w:rFonts w:cs="Calibri"/>
              </w:rPr>
            </w:pPr>
            <w:r>
              <w:rPr>
                <w:rFonts w:cs="Calibri"/>
              </w:rPr>
              <w:t>Members noted that if option 1) was adopted, it would effectiv</w:t>
            </w:r>
            <w:r w:rsidR="00672F3C">
              <w:rPr>
                <w:rFonts w:cs="Calibri"/>
              </w:rPr>
              <w:t>e</w:t>
            </w:r>
            <w:r>
              <w:rPr>
                <w:rFonts w:cs="Calibri"/>
              </w:rPr>
              <w:t>ly</w:t>
            </w:r>
            <w:r w:rsidRPr="004347CB">
              <w:rPr>
                <w:rFonts w:cs="Calibri"/>
              </w:rPr>
              <w:t xml:space="preserve"> mean councillor members of RTPs would be in the same positon as members of a company established wholly to provide services to the Council (such as a leisure trust ALEO).  The councillor member would have to declare his or her interest in the RTP but could still take part in the discussion and decision-making at any meeting where matters relating to the RTP were discussed, provided the RTP was not making any application or objecting / making representations on one.   Having declared an interest, they could also take part in the discussion and decision-making on applications where the RTP has an interest, but not one that </w:t>
            </w:r>
            <w:r w:rsidR="004C6E69">
              <w:rPr>
                <w:rFonts w:cs="Calibri"/>
              </w:rPr>
              <w:t>was</w:t>
            </w:r>
            <w:r w:rsidRPr="004347CB">
              <w:rPr>
                <w:rFonts w:cs="Calibri"/>
              </w:rPr>
              <w:t xml:space="preserve"> considered to be ‘material’.</w:t>
            </w:r>
            <w:r w:rsidR="004C6E69">
              <w:rPr>
                <w:rFonts w:cs="Calibri"/>
              </w:rPr>
              <w:t xml:space="preserve"> </w:t>
            </w:r>
          </w:p>
          <w:p w14:paraId="42A0E604" w14:textId="77777777" w:rsidR="004C6E69" w:rsidRDefault="004C6E69" w:rsidP="004347CB">
            <w:pPr>
              <w:spacing w:after="0" w:line="240" w:lineRule="auto"/>
              <w:rPr>
                <w:rFonts w:cs="Calibri"/>
              </w:rPr>
            </w:pPr>
          </w:p>
          <w:p w14:paraId="73B94F13" w14:textId="2A10219C" w:rsidR="004347CB" w:rsidRDefault="004347CB" w:rsidP="004347CB">
            <w:pPr>
              <w:spacing w:after="0" w:line="240" w:lineRule="auto"/>
              <w:rPr>
                <w:rFonts w:cs="Calibri"/>
              </w:rPr>
            </w:pPr>
            <w:r>
              <w:rPr>
                <w:rFonts w:cs="Calibri"/>
              </w:rPr>
              <w:t>Members noted that t</w:t>
            </w:r>
            <w:r w:rsidRPr="004347CB">
              <w:rPr>
                <w:rFonts w:cs="Calibri"/>
              </w:rPr>
              <w:t>he difficulty with this</w:t>
            </w:r>
            <w:r>
              <w:rPr>
                <w:rFonts w:cs="Calibri"/>
              </w:rPr>
              <w:t xml:space="preserve"> option was</w:t>
            </w:r>
            <w:r w:rsidRPr="004347CB">
              <w:rPr>
                <w:rFonts w:cs="Calibri"/>
              </w:rPr>
              <w:t xml:space="preserve"> that in order to develop transport strategies, RTPs </w:t>
            </w:r>
            <w:r w:rsidR="004C6E69">
              <w:rPr>
                <w:rFonts w:cs="Calibri"/>
              </w:rPr>
              <w:t>would be</w:t>
            </w:r>
            <w:r w:rsidRPr="004347CB">
              <w:rPr>
                <w:rFonts w:cs="Calibri"/>
              </w:rPr>
              <w:t xml:space="preserve"> likely to comment on the transport implications of any proposed major planning applications in the region they cover, a councillor member of the RTP may find it difficult not to be perceived as pre-judging or demonstrating bias in respect of the application when it is considered by the Council.  </w:t>
            </w:r>
            <w:r>
              <w:rPr>
                <w:rFonts w:cs="Calibri"/>
              </w:rPr>
              <w:t>Members</w:t>
            </w:r>
            <w:r w:rsidRPr="004347CB">
              <w:rPr>
                <w:rFonts w:cs="Calibri"/>
              </w:rPr>
              <w:t xml:space="preserve"> accepted that this </w:t>
            </w:r>
            <w:r>
              <w:rPr>
                <w:rFonts w:cs="Calibri"/>
              </w:rPr>
              <w:t>would</w:t>
            </w:r>
            <w:r w:rsidRPr="004347CB">
              <w:rPr>
                <w:rFonts w:cs="Calibri"/>
              </w:rPr>
              <w:t xml:space="preserve"> not necessarily be the case in respect of every strategic transport strategy developed, and commented on, by a RTP.  However, it seem</w:t>
            </w:r>
            <w:r>
              <w:rPr>
                <w:rFonts w:cs="Calibri"/>
              </w:rPr>
              <w:t>ed</w:t>
            </w:r>
            <w:r w:rsidRPr="004347CB">
              <w:rPr>
                <w:rFonts w:cs="Calibri"/>
              </w:rPr>
              <w:t xml:space="preserve"> likely that most major planning proposals </w:t>
            </w:r>
            <w:r>
              <w:rPr>
                <w:rFonts w:cs="Calibri"/>
              </w:rPr>
              <w:t>would</w:t>
            </w:r>
            <w:r w:rsidRPr="004347CB">
              <w:rPr>
                <w:rFonts w:cs="Calibri"/>
              </w:rPr>
              <w:t xml:space="preserve"> have significant transport implications and it </w:t>
            </w:r>
            <w:r w:rsidR="004C6E69">
              <w:rPr>
                <w:rFonts w:cs="Calibri"/>
              </w:rPr>
              <w:t>was</w:t>
            </w:r>
            <w:r w:rsidRPr="004347CB">
              <w:rPr>
                <w:rFonts w:cs="Calibri"/>
              </w:rPr>
              <w:t xml:space="preserve"> arguable, therefore, that any comment from the RTP could be perceived as demonstrating a material interest in or being an objection / representation on an application.   </w:t>
            </w:r>
            <w:r w:rsidR="00FE76E1" w:rsidRPr="00FE76E1">
              <w:rPr>
                <w:rFonts w:cs="Calibri"/>
              </w:rPr>
              <w:t xml:space="preserve">If so, councillor members would have to withdraw at </w:t>
            </w:r>
            <w:r w:rsidR="00FE76E1">
              <w:rPr>
                <w:rFonts w:cs="Calibri"/>
              </w:rPr>
              <w:t>a</w:t>
            </w:r>
            <w:r w:rsidR="00FE76E1" w:rsidRPr="00FE76E1">
              <w:rPr>
                <w:rFonts w:cs="Calibri"/>
              </w:rPr>
              <w:t xml:space="preserve"> Council meeting and not take part in the Council’s consideration of the planning application (although it is noted they  could make representations on behalf of the RTP before doing so).</w:t>
            </w:r>
          </w:p>
          <w:p w14:paraId="47256B45" w14:textId="77777777" w:rsidR="004347CB" w:rsidRDefault="004347CB" w:rsidP="004347CB">
            <w:pPr>
              <w:spacing w:after="0" w:line="240" w:lineRule="auto"/>
              <w:rPr>
                <w:rFonts w:cs="Calibri"/>
              </w:rPr>
            </w:pPr>
          </w:p>
          <w:p w14:paraId="01911F32" w14:textId="37A23CB1" w:rsidR="004347CB" w:rsidRDefault="004347CB" w:rsidP="004347CB">
            <w:pPr>
              <w:spacing w:after="0" w:line="240" w:lineRule="auto"/>
              <w:rPr>
                <w:rFonts w:cs="Calibri"/>
              </w:rPr>
            </w:pPr>
            <w:r>
              <w:rPr>
                <w:rFonts w:cs="Calibri"/>
              </w:rPr>
              <w:t xml:space="preserve">Members </w:t>
            </w:r>
            <w:r w:rsidR="001B47C9">
              <w:rPr>
                <w:rFonts w:cs="Calibri"/>
              </w:rPr>
              <w:t>decided that</w:t>
            </w:r>
            <w:r>
              <w:rPr>
                <w:rFonts w:cs="Calibri"/>
              </w:rPr>
              <w:t xml:space="preserve"> the Standards Commission’s response to the consultation should be to recommend option 1) but to highlight the difficulties identified, as outlined above</w:t>
            </w:r>
            <w:r w:rsidR="004C6E69">
              <w:rPr>
                <w:rFonts w:cs="Calibri"/>
              </w:rPr>
              <w:t>.  The S</w:t>
            </w:r>
            <w:r>
              <w:rPr>
                <w:rFonts w:cs="Calibri"/>
              </w:rPr>
              <w:t>tandards Commission’s response should also provide reasoning as to why it did not recommend options 2) and 3) be adopted.</w:t>
            </w:r>
          </w:p>
          <w:p w14:paraId="76049E73" w14:textId="77777777" w:rsidR="004347CB" w:rsidRDefault="004347CB" w:rsidP="004347CB">
            <w:pPr>
              <w:spacing w:after="0" w:line="240" w:lineRule="auto"/>
              <w:rPr>
                <w:rFonts w:cs="Calibri"/>
              </w:rPr>
            </w:pPr>
          </w:p>
          <w:p w14:paraId="00443F95" w14:textId="7FF1D43A" w:rsidR="004347CB" w:rsidRPr="004347CB" w:rsidRDefault="00672F3C" w:rsidP="004347CB">
            <w:pPr>
              <w:spacing w:after="0" w:line="240" w:lineRule="auto"/>
              <w:rPr>
                <w:rFonts w:cs="Calibri"/>
              </w:rPr>
            </w:pPr>
            <w:r>
              <w:rPr>
                <w:rFonts w:cs="Calibri"/>
              </w:rPr>
              <w:t>Members further agreed that the response should indicate that t</w:t>
            </w:r>
            <w:r w:rsidR="004347CB" w:rsidRPr="004347CB">
              <w:rPr>
                <w:rFonts w:cs="Calibri"/>
              </w:rPr>
              <w:t>he Standards Commission consider</w:t>
            </w:r>
            <w:r>
              <w:rPr>
                <w:rFonts w:cs="Calibri"/>
              </w:rPr>
              <w:t>ed</w:t>
            </w:r>
            <w:r w:rsidR="004347CB" w:rsidRPr="004347CB">
              <w:rPr>
                <w:rFonts w:cs="Calibri"/>
              </w:rPr>
              <w:t xml:space="preserve"> extending the amendment to all other public bodies would dilute the Code and could erode public confidence in the statutory decision-making processes of a Council.</w:t>
            </w:r>
          </w:p>
          <w:p w14:paraId="5547F29F" w14:textId="77777777" w:rsidR="004347CB" w:rsidRPr="004347CB" w:rsidRDefault="004347CB" w:rsidP="004347CB">
            <w:pPr>
              <w:spacing w:after="0" w:line="240" w:lineRule="auto"/>
              <w:rPr>
                <w:rFonts w:cs="Calibri"/>
              </w:rPr>
            </w:pPr>
          </w:p>
          <w:p w14:paraId="2A2A5C02" w14:textId="77777777" w:rsidR="00416C53" w:rsidRDefault="00672F3C" w:rsidP="00FC6376">
            <w:pPr>
              <w:spacing w:after="0" w:line="240" w:lineRule="auto"/>
              <w:rPr>
                <w:rFonts w:cs="Calibri"/>
              </w:rPr>
            </w:pPr>
            <w:r>
              <w:rPr>
                <w:rFonts w:cs="Calibri"/>
              </w:rPr>
              <w:t xml:space="preserve">In addition, Members </w:t>
            </w:r>
            <w:r w:rsidR="001B47C9">
              <w:rPr>
                <w:rFonts w:cs="Calibri"/>
              </w:rPr>
              <w:t xml:space="preserve">agreed </w:t>
            </w:r>
            <w:r>
              <w:rPr>
                <w:rFonts w:cs="Calibri"/>
              </w:rPr>
              <w:t xml:space="preserve">that the Standards Commission </w:t>
            </w:r>
            <w:r w:rsidR="001B47C9">
              <w:rPr>
                <w:rFonts w:cs="Calibri"/>
              </w:rPr>
              <w:t xml:space="preserve">should </w:t>
            </w:r>
            <w:r>
              <w:rPr>
                <w:rFonts w:cs="Calibri"/>
              </w:rPr>
              <w:t>advise the</w:t>
            </w:r>
            <w:r w:rsidR="004347CB" w:rsidRPr="004347CB">
              <w:rPr>
                <w:rFonts w:cs="Calibri"/>
              </w:rPr>
              <w:t xml:space="preserve"> Scottish Government </w:t>
            </w:r>
            <w:r>
              <w:rPr>
                <w:rFonts w:cs="Calibri"/>
              </w:rPr>
              <w:t xml:space="preserve">that while it understood there were </w:t>
            </w:r>
            <w:r w:rsidR="004347CB" w:rsidRPr="004347CB">
              <w:rPr>
                <w:rFonts w:cs="Calibri"/>
              </w:rPr>
              <w:t xml:space="preserve">currently </w:t>
            </w:r>
            <w:r>
              <w:rPr>
                <w:rFonts w:cs="Calibri"/>
              </w:rPr>
              <w:t>no</w:t>
            </w:r>
            <w:r w:rsidR="004347CB" w:rsidRPr="004347CB">
              <w:rPr>
                <w:rFonts w:cs="Calibri"/>
              </w:rPr>
              <w:t xml:space="preserve"> plans </w:t>
            </w:r>
            <w:r>
              <w:rPr>
                <w:rFonts w:cs="Calibri"/>
              </w:rPr>
              <w:t xml:space="preserve">for it </w:t>
            </w:r>
            <w:r w:rsidR="004347CB" w:rsidRPr="004347CB">
              <w:rPr>
                <w:rFonts w:cs="Calibri"/>
              </w:rPr>
              <w:t xml:space="preserve">to undertake a further review of the Code, the Standards Commission would urge it to do so.  The </w:t>
            </w:r>
            <w:r>
              <w:rPr>
                <w:rFonts w:cs="Calibri"/>
              </w:rPr>
              <w:t xml:space="preserve">Scottish Government should be provided with the </w:t>
            </w:r>
            <w:r w:rsidR="004347CB" w:rsidRPr="004347CB">
              <w:rPr>
                <w:rFonts w:cs="Calibri"/>
              </w:rPr>
              <w:t xml:space="preserve">list of </w:t>
            </w:r>
            <w:r w:rsidR="004C6E69">
              <w:rPr>
                <w:rFonts w:cs="Calibri"/>
              </w:rPr>
              <w:t>issues the S</w:t>
            </w:r>
            <w:r>
              <w:rPr>
                <w:rFonts w:cs="Calibri"/>
              </w:rPr>
              <w:t>tandards Commission</w:t>
            </w:r>
            <w:r w:rsidR="004347CB" w:rsidRPr="004347CB">
              <w:rPr>
                <w:rFonts w:cs="Calibri"/>
              </w:rPr>
              <w:t xml:space="preserve"> had identified, in conjunction with its stakeholders, in respect of the current provisions in the Code and suggestions on the amendments that could be made to resolve these.  The Standards Commission </w:t>
            </w:r>
            <w:r>
              <w:rPr>
                <w:rFonts w:cs="Calibri"/>
              </w:rPr>
              <w:t>sh</w:t>
            </w:r>
            <w:r w:rsidR="004347CB" w:rsidRPr="004347CB">
              <w:rPr>
                <w:rFonts w:cs="Calibri"/>
              </w:rPr>
              <w:t>ould urge the Scottish Government to consider undertaking a further review of the Code in order to resolve the issues identified</w:t>
            </w:r>
            <w:r>
              <w:rPr>
                <w:rFonts w:cs="Calibri"/>
              </w:rPr>
              <w:t xml:space="preserve"> and should advise the Scottish Government that it</w:t>
            </w:r>
            <w:r w:rsidR="004347CB" w:rsidRPr="004347CB">
              <w:rPr>
                <w:rFonts w:cs="Calibri"/>
              </w:rPr>
              <w:t xml:space="preserve"> </w:t>
            </w:r>
            <w:r w:rsidR="004347CB" w:rsidRPr="004347CB">
              <w:rPr>
                <w:rFonts w:cs="Calibri"/>
              </w:rPr>
              <w:lastRenderedPageBreak/>
              <w:t>would be pleased to assist with any such review and related consultation process.</w:t>
            </w:r>
          </w:p>
          <w:p w14:paraId="27C9206B" w14:textId="4EDCBF9B" w:rsidR="00514AEB" w:rsidRPr="00BC3448" w:rsidRDefault="00514AEB" w:rsidP="00FC6376">
            <w:pPr>
              <w:spacing w:after="0" w:line="240" w:lineRule="auto"/>
              <w:rPr>
                <w:rFonts w:cs="Calibri"/>
                <w:b/>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69ED7020" w14:textId="77777777" w:rsidR="00D965C6" w:rsidRDefault="00D965C6" w:rsidP="000B03D4">
            <w:pPr>
              <w:spacing w:after="0" w:line="240" w:lineRule="auto"/>
              <w:rPr>
                <w:rFonts w:cs="Calibri"/>
                <w:b/>
              </w:rPr>
            </w:pPr>
          </w:p>
          <w:p w14:paraId="54F371DC" w14:textId="77777777" w:rsidR="00D965C6" w:rsidRDefault="00D965C6" w:rsidP="000B03D4">
            <w:pPr>
              <w:spacing w:after="0" w:line="240" w:lineRule="auto"/>
              <w:rPr>
                <w:rFonts w:cs="Calibri"/>
                <w:b/>
              </w:rPr>
            </w:pPr>
          </w:p>
          <w:p w14:paraId="1A63F6E4" w14:textId="77777777" w:rsidR="006655E1" w:rsidRDefault="006655E1" w:rsidP="000B03D4">
            <w:pPr>
              <w:spacing w:after="0" w:line="240" w:lineRule="auto"/>
              <w:rPr>
                <w:rFonts w:cs="Calibri"/>
                <w:b/>
              </w:rPr>
            </w:pPr>
          </w:p>
          <w:p w14:paraId="080346DF" w14:textId="77777777" w:rsidR="006B6EB3" w:rsidRDefault="006B6EB3" w:rsidP="000B03D4">
            <w:pPr>
              <w:spacing w:after="0" w:line="240" w:lineRule="auto"/>
              <w:rPr>
                <w:rFonts w:cs="Calibri"/>
                <w:b/>
              </w:rPr>
            </w:pPr>
          </w:p>
          <w:p w14:paraId="3888B28E" w14:textId="77777777" w:rsidR="006B6EB3" w:rsidRDefault="006B6EB3" w:rsidP="000B03D4">
            <w:pPr>
              <w:spacing w:after="0" w:line="240" w:lineRule="auto"/>
              <w:rPr>
                <w:rFonts w:cs="Calibri"/>
                <w:b/>
              </w:rPr>
            </w:pPr>
          </w:p>
          <w:p w14:paraId="6F36CE45" w14:textId="77777777" w:rsidR="006B6EB3" w:rsidRDefault="006B6EB3" w:rsidP="000B03D4">
            <w:pPr>
              <w:spacing w:after="0" w:line="240" w:lineRule="auto"/>
              <w:rPr>
                <w:rFonts w:cs="Calibri"/>
                <w:b/>
              </w:rPr>
            </w:pPr>
          </w:p>
          <w:p w14:paraId="2494215B" w14:textId="77777777" w:rsidR="006B6EB3" w:rsidRDefault="006B6EB3" w:rsidP="000B03D4">
            <w:pPr>
              <w:spacing w:after="0" w:line="240" w:lineRule="auto"/>
              <w:rPr>
                <w:rFonts w:cs="Calibri"/>
                <w:b/>
              </w:rPr>
            </w:pPr>
          </w:p>
          <w:p w14:paraId="61D0764D" w14:textId="77777777" w:rsidR="006B6EB3" w:rsidRDefault="006B6EB3" w:rsidP="000B03D4">
            <w:pPr>
              <w:spacing w:after="0" w:line="240" w:lineRule="auto"/>
              <w:rPr>
                <w:rFonts w:cs="Calibri"/>
                <w:b/>
              </w:rPr>
            </w:pPr>
          </w:p>
          <w:p w14:paraId="10209B4E" w14:textId="77777777" w:rsidR="00672F3C" w:rsidRDefault="00672F3C" w:rsidP="000B03D4">
            <w:pPr>
              <w:spacing w:after="0" w:line="240" w:lineRule="auto"/>
              <w:rPr>
                <w:rFonts w:cs="Calibri"/>
                <w:b/>
              </w:rPr>
            </w:pPr>
          </w:p>
          <w:p w14:paraId="4DF2C073" w14:textId="77777777" w:rsidR="00672F3C" w:rsidRDefault="00672F3C" w:rsidP="000B03D4">
            <w:pPr>
              <w:spacing w:after="0" w:line="240" w:lineRule="auto"/>
              <w:rPr>
                <w:rFonts w:cs="Calibri"/>
                <w:b/>
              </w:rPr>
            </w:pPr>
          </w:p>
          <w:p w14:paraId="74CDCFB2" w14:textId="77777777" w:rsidR="00672F3C" w:rsidRDefault="00672F3C" w:rsidP="000B03D4">
            <w:pPr>
              <w:spacing w:after="0" w:line="240" w:lineRule="auto"/>
              <w:rPr>
                <w:rFonts w:cs="Calibri"/>
                <w:b/>
              </w:rPr>
            </w:pPr>
          </w:p>
          <w:p w14:paraId="16A5CA4A" w14:textId="77777777" w:rsidR="00672F3C" w:rsidRDefault="00672F3C" w:rsidP="000B03D4">
            <w:pPr>
              <w:spacing w:after="0" w:line="240" w:lineRule="auto"/>
              <w:rPr>
                <w:rFonts w:cs="Calibri"/>
                <w:b/>
              </w:rPr>
            </w:pPr>
          </w:p>
          <w:p w14:paraId="714E3EA3" w14:textId="77777777" w:rsidR="00672F3C" w:rsidRDefault="00672F3C" w:rsidP="000B03D4">
            <w:pPr>
              <w:spacing w:after="0" w:line="240" w:lineRule="auto"/>
              <w:rPr>
                <w:rFonts w:cs="Calibri"/>
                <w:b/>
              </w:rPr>
            </w:pPr>
          </w:p>
          <w:p w14:paraId="61C5F789" w14:textId="77777777" w:rsidR="00672F3C" w:rsidRDefault="00672F3C" w:rsidP="000B03D4">
            <w:pPr>
              <w:spacing w:after="0" w:line="240" w:lineRule="auto"/>
              <w:rPr>
                <w:rFonts w:cs="Calibri"/>
                <w:b/>
              </w:rPr>
            </w:pPr>
          </w:p>
          <w:p w14:paraId="02B63A6F" w14:textId="77777777" w:rsidR="00672F3C" w:rsidRDefault="00672F3C" w:rsidP="000B03D4">
            <w:pPr>
              <w:spacing w:after="0" w:line="240" w:lineRule="auto"/>
              <w:rPr>
                <w:rFonts w:cs="Calibri"/>
                <w:b/>
              </w:rPr>
            </w:pPr>
          </w:p>
          <w:p w14:paraId="23EC6AE0" w14:textId="77777777" w:rsidR="00672F3C" w:rsidRDefault="00672F3C" w:rsidP="000B03D4">
            <w:pPr>
              <w:spacing w:after="0" w:line="240" w:lineRule="auto"/>
              <w:rPr>
                <w:rFonts w:cs="Calibri"/>
                <w:b/>
              </w:rPr>
            </w:pPr>
          </w:p>
          <w:p w14:paraId="3FCCCFD8" w14:textId="77777777" w:rsidR="00672F3C" w:rsidRDefault="00672F3C" w:rsidP="000B03D4">
            <w:pPr>
              <w:spacing w:after="0" w:line="240" w:lineRule="auto"/>
              <w:rPr>
                <w:rFonts w:cs="Calibri"/>
                <w:b/>
              </w:rPr>
            </w:pPr>
          </w:p>
          <w:p w14:paraId="2F4E725A" w14:textId="77777777" w:rsidR="00672F3C" w:rsidRDefault="00672F3C" w:rsidP="000B03D4">
            <w:pPr>
              <w:spacing w:after="0" w:line="240" w:lineRule="auto"/>
              <w:rPr>
                <w:rFonts w:cs="Calibri"/>
                <w:b/>
              </w:rPr>
            </w:pPr>
          </w:p>
          <w:p w14:paraId="6F85BB36" w14:textId="77777777" w:rsidR="00672F3C" w:rsidRDefault="00672F3C" w:rsidP="000B03D4">
            <w:pPr>
              <w:spacing w:after="0" w:line="240" w:lineRule="auto"/>
              <w:rPr>
                <w:rFonts w:cs="Calibri"/>
                <w:b/>
              </w:rPr>
            </w:pPr>
          </w:p>
          <w:p w14:paraId="786C029F" w14:textId="77777777" w:rsidR="00672F3C" w:rsidRDefault="00672F3C" w:rsidP="000B03D4">
            <w:pPr>
              <w:spacing w:after="0" w:line="240" w:lineRule="auto"/>
              <w:rPr>
                <w:rFonts w:cs="Calibri"/>
                <w:b/>
              </w:rPr>
            </w:pPr>
          </w:p>
          <w:p w14:paraId="62AD7F47" w14:textId="77777777" w:rsidR="00672F3C" w:rsidRDefault="00672F3C" w:rsidP="000B03D4">
            <w:pPr>
              <w:spacing w:after="0" w:line="240" w:lineRule="auto"/>
              <w:rPr>
                <w:rFonts w:cs="Calibri"/>
                <w:b/>
              </w:rPr>
            </w:pPr>
          </w:p>
          <w:p w14:paraId="34F8A7D3" w14:textId="77777777" w:rsidR="00672F3C" w:rsidRDefault="00672F3C" w:rsidP="000B03D4">
            <w:pPr>
              <w:spacing w:after="0" w:line="240" w:lineRule="auto"/>
              <w:rPr>
                <w:rFonts w:cs="Calibri"/>
                <w:b/>
              </w:rPr>
            </w:pPr>
          </w:p>
          <w:p w14:paraId="424B2C1C" w14:textId="77777777" w:rsidR="00672F3C" w:rsidRDefault="00672F3C" w:rsidP="000B03D4">
            <w:pPr>
              <w:spacing w:after="0" w:line="240" w:lineRule="auto"/>
              <w:rPr>
                <w:rFonts w:cs="Calibri"/>
                <w:b/>
              </w:rPr>
            </w:pPr>
          </w:p>
          <w:p w14:paraId="58E7FB92" w14:textId="77777777" w:rsidR="00672F3C" w:rsidRDefault="00672F3C" w:rsidP="000B03D4">
            <w:pPr>
              <w:spacing w:after="0" w:line="240" w:lineRule="auto"/>
              <w:rPr>
                <w:rFonts w:cs="Calibri"/>
                <w:b/>
              </w:rPr>
            </w:pPr>
          </w:p>
          <w:p w14:paraId="56AB023B" w14:textId="77777777" w:rsidR="00672F3C" w:rsidRDefault="00672F3C" w:rsidP="000B03D4">
            <w:pPr>
              <w:spacing w:after="0" w:line="240" w:lineRule="auto"/>
              <w:rPr>
                <w:rFonts w:cs="Calibri"/>
                <w:b/>
              </w:rPr>
            </w:pPr>
          </w:p>
          <w:p w14:paraId="79816460" w14:textId="77777777" w:rsidR="00672F3C" w:rsidRDefault="00672F3C" w:rsidP="000B03D4">
            <w:pPr>
              <w:spacing w:after="0" w:line="240" w:lineRule="auto"/>
              <w:rPr>
                <w:rFonts w:cs="Calibri"/>
                <w:b/>
              </w:rPr>
            </w:pPr>
          </w:p>
          <w:p w14:paraId="73F4B9FF" w14:textId="77777777" w:rsidR="00672F3C" w:rsidRDefault="00672F3C" w:rsidP="000B03D4">
            <w:pPr>
              <w:spacing w:after="0" w:line="240" w:lineRule="auto"/>
              <w:rPr>
                <w:rFonts w:cs="Calibri"/>
                <w:b/>
              </w:rPr>
            </w:pPr>
          </w:p>
          <w:p w14:paraId="0E9066E6" w14:textId="77777777" w:rsidR="00672F3C" w:rsidRDefault="00672F3C" w:rsidP="000B03D4">
            <w:pPr>
              <w:spacing w:after="0" w:line="240" w:lineRule="auto"/>
              <w:rPr>
                <w:rFonts w:cs="Calibri"/>
                <w:b/>
              </w:rPr>
            </w:pPr>
          </w:p>
          <w:p w14:paraId="54C83163" w14:textId="77777777" w:rsidR="00672F3C" w:rsidRDefault="00672F3C" w:rsidP="000B03D4">
            <w:pPr>
              <w:spacing w:after="0" w:line="240" w:lineRule="auto"/>
              <w:rPr>
                <w:rFonts w:cs="Calibri"/>
                <w:b/>
              </w:rPr>
            </w:pPr>
          </w:p>
          <w:p w14:paraId="1F1B86C6" w14:textId="77777777" w:rsidR="00672F3C" w:rsidRDefault="00672F3C" w:rsidP="000B03D4">
            <w:pPr>
              <w:spacing w:after="0" w:line="240" w:lineRule="auto"/>
              <w:rPr>
                <w:rFonts w:cs="Calibri"/>
                <w:b/>
              </w:rPr>
            </w:pPr>
          </w:p>
          <w:p w14:paraId="7E0E0B4E" w14:textId="77777777" w:rsidR="00672F3C" w:rsidRDefault="00672F3C" w:rsidP="000B03D4">
            <w:pPr>
              <w:spacing w:after="0" w:line="240" w:lineRule="auto"/>
              <w:rPr>
                <w:rFonts w:cs="Calibri"/>
                <w:b/>
              </w:rPr>
            </w:pPr>
          </w:p>
          <w:p w14:paraId="7BD4A412" w14:textId="77777777" w:rsidR="00672F3C" w:rsidRDefault="00672F3C" w:rsidP="000B03D4">
            <w:pPr>
              <w:spacing w:after="0" w:line="240" w:lineRule="auto"/>
              <w:rPr>
                <w:rFonts w:cs="Calibri"/>
                <w:b/>
              </w:rPr>
            </w:pPr>
          </w:p>
          <w:p w14:paraId="27A74698" w14:textId="77777777" w:rsidR="00672F3C" w:rsidRDefault="00672F3C" w:rsidP="000B03D4">
            <w:pPr>
              <w:spacing w:after="0" w:line="240" w:lineRule="auto"/>
              <w:rPr>
                <w:rFonts w:cs="Calibri"/>
                <w:b/>
              </w:rPr>
            </w:pPr>
          </w:p>
          <w:p w14:paraId="574BF907" w14:textId="77777777" w:rsidR="00672F3C" w:rsidRDefault="00672F3C" w:rsidP="000B03D4">
            <w:pPr>
              <w:spacing w:after="0" w:line="240" w:lineRule="auto"/>
              <w:rPr>
                <w:rFonts w:cs="Calibri"/>
                <w:b/>
              </w:rPr>
            </w:pPr>
          </w:p>
          <w:p w14:paraId="189D6A25" w14:textId="77777777" w:rsidR="00672F3C" w:rsidRDefault="00672F3C" w:rsidP="000B03D4">
            <w:pPr>
              <w:spacing w:after="0" w:line="240" w:lineRule="auto"/>
              <w:rPr>
                <w:rFonts w:cs="Calibri"/>
                <w:b/>
              </w:rPr>
            </w:pPr>
          </w:p>
          <w:p w14:paraId="69FDD6CB" w14:textId="77777777" w:rsidR="00672F3C" w:rsidRDefault="00672F3C" w:rsidP="000B03D4">
            <w:pPr>
              <w:spacing w:after="0" w:line="240" w:lineRule="auto"/>
              <w:rPr>
                <w:rFonts w:cs="Calibri"/>
                <w:b/>
              </w:rPr>
            </w:pPr>
          </w:p>
          <w:p w14:paraId="4A262348" w14:textId="77777777" w:rsidR="00672F3C" w:rsidRDefault="00672F3C" w:rsidP="000B03D4">
            <w:pPr>
              <w:spacing w:after="0" w:line="240" w:lineRule="auto"/>
              <w:rPr>
                <w:rFonts w:cs="Calibri"/>
                <w:b/>
              </w:rPr>
            </w:pPr>
          </w:p>
          <w:p w14:paraId="34244C76" w14:textId="77777777" w:rsidR="00672F3C" w:rsidRDefault="00672F3C" w:rsidP="000B03D4">
            <w:pPr>
              <w:spacing w:after="0" w:line="240" w:lineRule="auto"/>
              <w:rPr>
                <w:rFonts w:cs="Calibri"/>
                <w:b/>
              </w:rPr>
            </w:pPr>
          </w:p>
          <w:p w14:paraId="6F961365" w14:textId="77777777" w:rsidR="00672F3C" w:rsidRDefault="00672F3C" w:rsidP="000B03D4">
            <w:pPr>
              <w:spacing w:after="0" w:line="240" w:lineRule="auto"/>
              <w:rPr>
                <w:rFonts w:cs="Calibri"/>
                <w:b/>
              </w:rPr>
            </w:pPr>
          </w:p>
          <w:p w14:paraId="6B73034C" w14:textId="77777777" w:rsidR="00672F3C" w:rsidRDefault="00672F3C" w:rsidP="000B03D4">
            <w:pPr>
              <w:spacing w:after="0" w:line="240" w:lineRule="auto"/>
              <w:rPr>
                <w:rFonts w:cs="Calibri"/>
                <w:b/>
              </w:rPr>
            </w:pPr>
          </w:p>
          <w:p w14:paraId="36527352" w14:textId="77777777" w:rsidR="00672F3C" w:rsidRDefault="00672F3C" w:rsidP="000B03D4">
            <w:pPr>
              <w:spacing w:after="0" w:line="240" w:lineRule="auto"/>
              <w:rPr>
                <w:rFonts w:cs="Calibri"/>
                <w:b/>
              </w:rPr>
            </w:pPr>
          </w:p>
          <w:p w14:paraId="141EDC3F" w14:textId="77777777" w:rsidR="00672F3C" w:rsidRDefault="00672F3C" w:rsidP="000B03D4">
            <w:pPr>
              <w:spacing w:after="0" w:line="240" w:lineRule="auto"/>
              <w:rPr>
                <w:rFonts w:cs="Calibri"/>
                <w:b/>
              </w:rPr>
            </w:pPr>
          </w:p>
          <w:p w14:paraId="7EF40CFD" w14:textId="77777777" w:rsidR="00672F3C" w:rsidRDefault="00672F3C" w:rsidP="000B03D4">
            <w:pPr>
              <w:spacing w:after="0" w:line="240" w:lineRule="auto"/>
              <w:rPr>
                <w:rFonts w:cs="Calibri"/>
                <w:b/>
              </w:rPr>
            </w:pPr>
          </w:p>
          <w:p w14:paraId="73A33746" w14:textId="77777777" w:rsidR="00672F3C" w:rsidRDefault="00672F3C" w:rsidP="000B03D4">
            <w:pPr>
              <w:spacing w:after="0" w:line="240" w:lineRule="auto"/>
              <w:rPr>
                <w:rFonts w:cs="Calibri"/>
                <w:b/>
              </w:rPr>
            </w:pPr>
          </w:p>
          <w:p w14:paraId="578C71E3" w14:textId="77777777" w:rsidR="00672F3C" w:rsidRDefault="00672F3C" w:rsidP="000B03D4">
            <w:pPr>
              <w:spacing w:after="0" w:line="240" w:lineRule="auto"/>
              <w:rPr>
                <w:rFonts w:cs="Calibri"/>
                <w:b/>
              </w:rPr>
            </w:pPr>
          </w:p>
          <w:p w14:paraId="41F9FC3D" w14:textId="77777777" w:rsidR="00672F3C" w:rsidRDefault="00672F3C" w:rsidP="000B03D4">
            <w:pPr>
              <w:spacing w:after="0" w:line="240" w:lineRule="auto"/>
              <w:rPr>
                <w:rFonts w:cs="Calibri"/>
                <w:b/>
              </w:rPr>
            </w:pPr>
          </w:p>
          <w:p w14:paraId="2E4E83C8" w14:textId="77777777" w:rsidR="00672F3C" w:rsidRDefault="00672F3C" w:rsidP="000B03D4">
            <w:pPr>
              <w:spacing w:after="0" w:line="240" w:lineRule="auto"/>
              <w:rPr>
                <w:rFonts w:cs="Calibri"/>
                <w:b/>
              </w:rPr>
            </w:pPr>
          </w:p>
          <w:p w14:paraId="15225E69" w14:textId="77777777" w:rsidR="00672F3C" w:rsidRDefault="00672F3C" w:rsidP="000B03D4">
            <w:pPr>
              <w:spacing w:after="0" w:line="240" w:lineRule="auto"/>
              <w:rPr>
                <w:rFonts w:cs="Calibri"/>
                <w:b/>
              </w:rPr>
            </w:pPr>
          </w:p>
          <w:p w14:paraId="628C91F2" w14:textId="77777777" w:rsidR="00672F3C" w:rsidRDefault="00672F3C" w:rsidP="000B03D4">
            <w:pPr>
              <w:spacing w:after="0" w:line="240" w:lineRule="auto"/>
              <w:rPr>
                <w:rFonts w:cs="Calibri"/>
                <w:b/>
              </w:rPr>
            </w:pPr>
          </w:p>
          <w:p w14:paraId="45C7ECC5" w14:textId="77777777" w:rsidR="00672F3C" w:rsidRDefault="00672F3C" w:rsidP="000B03D4">
            <w:pPr>
              <w:spacing w:after="0" w:line="240" w:lineRule="auto"/>
              <w:rPr>
                <w:rFonts w:cs="Calibri"/>
                <w:b/>
              </w:rPr>
            </w:pPr>
          </w:p>
          <w:p w14:paraId="21D32513" w14:textId="77777777" w:rsidR="00672F3C" w:rsidRDefault="00672F3C" w:rsidP="000B03D4">
            <w:pPr>
              <w:spacing w:after="0" w:line="240" w:lineRule="auto"/>
              <w:rPr>
                <w:rFonts w:cs="Calibri"/>
                <w:b/>
              </w:rPr>
            </w:pPr>
          </w:p>
          <w:p w14:paraId="3C4205C5" w14:textId="77777777" w:rsidR="00672F3C" w:rsidRDefault="00672F3C" w:rsidP="000B03D4">
            <w:pPr>
              <w:spacing w:after="0" w:line="240" w:lineRule="auto"/>
              <w:rPr>
                <w:rFonts w:cs="Calibri"/>
                <w:b/>
              </w:rPr>
            </w:pPr>
          </w:p>
          <w:p w14:paraId="4BE4356D" w14:textId="77777777" w:rsidR="00672F3C" w:rsidRDefault="00672F3C" w:rsidP="000B03D4">
            <w:pPr>
              <w:spacing w:after="0" w:line="240" w:lineRule="auto"/>
              <w:rPr>
                <w:rFonts w:cs="Calibri"/>
                <w:b/>
              </w:rPr>
            </w:pPr>
          </w:p>
          <w:p w14:paraId="0CE26ECB" w14:textId="77777777" w:rsidR="00672F3C" w:rsidRDefault="00672F3C" w:rsidP="000B03D4">
            <w:pPr>
              <w:spacing w:after="0" w:line="240" w:lineRule="auto"/>
              <w:rPr>
                <w:rFonts w:cs="Calibri"/>
                <w:b/>
              </w:rPr>
            </w:pPr>
          </w:p>
          <w:p w14:paraId="65C10D34" w14:textId="77777777" w:rsidR="00672F3C" w:rsidRDefault="00672F3C" w:rsidP="000B03D4">
            <w:pPr>
              <w:spacing w:after="0" w:line="240" w:lineRule="auto"/>
              <w:rPr>
                <w:rFonts w:cs="Calibri"/>
                <w:b/>
              </w:rPr>
            </w:pPr>
          </w:p>
          <w:p w14:paraId="3A246B38" w14:textId="77777777" w:rsidR="00672F3C" w:rsidRDefault="00672F3C" w:rsidP="000B03D4">
            <w:pPr>
              <w:spacing w:after="0" w:line="240" w:lineRule="auto"/>
              <w:rPr>
                <w:rFonts w:cs="Calibri"/>
                <w:b/>
              </w:rPr>
            </w:pPr>
          </w:p>
          <w:p w14:paraId="22320954" w14:textId="77777777" w:rsidR="00672F3C" w:rsidRDefault="00672F3C" w:rsidP="000B03D4">
            <w:pPr>
              <w:spacing w:after="0" w:line="240" w:lineRule="auto"/>
              <w:rPr>
                <w:rFonts w:cs="Calibri"/>
                <w:b/>
              </w:rPr>
            </w:pPr>
          </w:p>
          <w:p w14:paraId="749CA804" w14:textId="77777777" w:rsidR="00672F3C" w:rsidRDefault="00672F3C" w:rsidP="000B03D4">
            <w:pPr>
              <w:spacing w:after="0" w:line="240" w:lineRule="auto"/>
              <w:rPr>
                <w:rFonts w:cs="Calibri"/>
                <w:b/>
              </w:rPr>
            </w:pPr>
          </w:p>
          <w:p w14:paraId="38E68CC0" w14:textId="77777777" w:rsidR="00672F3C" w:rsidRDefault="00672F3C" w:rsidP="000B03D4">
            <w:pPr>
              <w:spacing w:after="0" w:line="240" w:lineRule="auto"/>
              <w:rPr>
                <w:rFonts w:cs="Calibri"/>
                <w:b/>
              </w:rPr>
            </w:pPr>
          </w:p>
          <w:p w14:paraId="7FB27FC8" w14:textId="77777777" w:rsidR="00672F3C" w:rsidRDefault="00672F3C" w:rsidP="000B03D4">
            <w:pPr>
              <w:spacing w:after="0" w:line="240" w:lineRule="auto"/>
              <w:rPr>
                <w:rFonts w:cs="Calibri"/>
                <w:b/>
              </w:rPr>
            </w:pPr>
          </w:p>
          <w:p w14:paraId="7DDD1A48" w14:textId="77777777" w:rsidR="00672F3C" w:rsidRDefault="00672F3C" w:rsidP="000B03D4">
            <w:pPr>
              <w:spacing w:after="0" w:line="240" w:lineRule="auto"/>
              <w:rPr>
                <w:rFonts w:cs="Calibri"/>
                <w:b/>
              </w:rPr>
            </w:pPr>
          </w:p>
          <w:p w14:paraId="26463B50" w14:textId="77777777" w:rsidR="00672F3C" w:rsidRDefault="00672F3C" w:rsidP="000B03D4">
            <w:pPr>
              <w:spacing w:after="0" w:line="240" w:lineRule="auto"/>
              <w:rPr>
                <w:rFonts w:cs="Calibri"/>
                <w:b/>
              </w:rPr>
            </w:pPr>
          </w:p>
          <w:p w14:paraId="6F5E28FA" w14:textId="77777777" w:rsidR="00672F3C" w:rsidRDefault="00672F3C" w:rsidP="000B03D4">
            <w:pPr>
              <w:spacing w:after="0" w:line="240" w:lineRule="auto"/>
              <w:rPr>
                <w:rFonts w:cs="Calibri"/>
                <w:b/>
              </w:rPr>
            </w:pPr>
          </w:p>
          <w:p w14:paraId="0A56F283" w14:textId="77777777" w:rsidR="00672F3C" w:rsidRDefault="00672F3C" w:rsidP="000B03D4">
            <w:pPr>
              <w:spacing w:after="0" w:line="240" w:lineRule="auto"/>
              <w:rPr>
                <w:rFonts w:cs="Calibri"/>
                <w:b/>
              </w:rPr>
            </w:pPr>
          </w:p>
          <w:p w14:paraId="44A25073" w14:textId="77777777" w:rsidR="00672F3C" w:rsidRDefault="00672F3C" w:rsidP="000B03D4">
            <w:pPr>
              <w:spacing w:after="0" w:line="240" w:lineRule="auto"/>
              <w:rPr>
                <w:rFonts w:cs="Calibri"/>
                <w:b/>
              </w:rPr>
            </w:pPr>
          </w:p>
          <w:p w14:paraId="21F522D9" w14:textId="77777777" w:rsidR="00672F3C" w:rsidRDefault="00672F3C" w:rsidP="000B03D4">
            <w:pPr>
              <w:spacing w:after="0" w:line="240" w:lineRule="auto"/>
              <w:rPr>
                <w:rFonts w:cs="Calibri"/>
                <w:b/>
              </w:rPr>
            </w:pPr>
          </w:p>
          <w:p w14:paraId="544694DB" w14:textId="77777777" w:rsidR="00672F3C" w:rsidRDefault="00672F3C" w:rsidP="000B03D4">
            <w:pPr>
              <w:spacing w:after="0" w:line="240" w:lineRule="auto"/>
              <w:rPr>
                <w:rFonts w:cs="Calibri"/>
                <w:b/>
              </w:rPr>
            </w:pPr>
          </w:p>
          <w:p w14:paraId="32C96DFA" w14:textId="77777777" w:rsidR="00672F3C" w:rsidRDefault="00672F3C" w:rsidP="000B03D4">
            <w:pPr>
              <w:spacing w:after="0" w:line="240" w:lineRule="auto"/>
              <w:rPr>
                <w:rFonts w:cs="Calibri"/>
                <w:b/>
              </w:rPr>
            </w:pPr>
          </w:p>
          <w:p w14:paraId="748CD02E" w14:textId="77777777" w:rsidR="00672F3C" w:rsidRDefault="00672F3C" w:rsidP="000B03D4">
            <w:pPr>
              <w:spacing w:after="0" w:line="240" w:lineRule="auto"/>
              <w:rPr>
                <w:rFonts w:cs="Calibri"/>
                <w:b/>
              </w:rPr>
            </w:pPr>
          </w:p>
          <w:p w14:paraId="591B7609" w14:textId="77777777" w:rsidR="00672F3C" w:rsidRDefault="00672F3C" w:rsidP="000B03D4">
            <w:pPr>
              <w:spacing w:after="0" w:line="240" w:lineRule="auto"/>
              <w:rPr>
                <w:rFonts w:cs="Calibri"/>
                <w:b/>
              </w:rPr>
            </w:pPr>
          </w:p>
          <w:p w14:paraId="0D8C24BE" w14:textId="77777777" w:rsidR="00672F3C" w:rsidRDefault="00672F3C" w:rsidP="000B03D4">
            <w:pPr>
              <w:spacing w:after="0" w:line="240" w:lineRule="auto"/>
              <w:rPr>
                <w:rFonts w:cs="Calibri"/>
                <w:b/>
              </w:rPr>
            </w:pPr>
          </w:p>
          <w:p w14:paraId="546A4EF6" w14:textId="77777777" w:rsidR="00672F3C" w:rsidRDefault="00672F3C" w:rsidP="000B03D4">
            <w:pPr>
              <w:spacing w:after="0" w:line="240" w:lineRule="auto"/>
              <w:rPr>
                <w:rFonts w:cs="Calibri"/>
                <w:b/>
              </w:rPr>
            </w:pPr>
          </w:p>
          <w:p w14:paraId="0D640737" w14:textId="77777777" w:rsidR="00672F3C" w:rsidRDefault="00672F3C" w:rsidP="000B03D4">
            <w:pPr>
              <w:spacing w:after="0" w:line="240" w:lineRule="auto"/>
              <w:rPr>
                <w:rFonts w:cs="Calibri"/>
                <w:b/>
              </w:rPr>
            </w:pPr>
          </w:p>
          <w:p w14:paraId="51758645" w14:textId="77777777" w:rsidR="00672F3C" w:rsidRDefault="00672F3C" w:rsidP="000B03D4">
            <w:pPr>
              <w:spacing w:after="0" w:line="240" w:lineRule="auto"/>
              <w:rPr>
                <w:rFonts w:cs="Calibri"/>
                <w:b/>
              </w:rPr>
            </w:pPr>
          </w:p>
          <w:p w14:paraId="24ACF53C" w14:textId="77777777" w:rsidR="00672F3C" w:rsidRDefault="00672F3C" w:rsidP="000B03D4">
            <w:pPr>
              <w:spacing w:after="0" w:line="240" w:lineRule="auto"/>
              <w:rPr>
                <w:rFonts w:cs="Calibri"/>
                <w:b/>
              </w:rPr>
            </w:pPr>
          </w:p>
          <w:p w14:paraId="1A48D56B" w14:textId="77777777" w:rsidR="00672F3C" w:rsidRDefault="00672F3C" w:rsidP="000B03D4">
            <w:pPr>
              <w:spacing w:after="0" w:line="240" w:lineRule="auto"/>
              <w:rPr>
                <w:rFonts w:cs="Calibri"/>
                <w:b/>
              </w:rPr>
            </w:pPr>
          </w:p>
          <w:p w14:paraId="77301C72" w14:textId="77777777" w:rsidR="00672F3C" w:rsidRDefault="00672F3C" w:rsidP="000B03D4">
            <w:pPr>
              <w:spacing w:after="0" w:line="240" w:lineRule="auto"/>
              <w:rPr>
                <w:rFonts w:cs="Calibri"/>
                <w:b/>
              </w:rPr>
            </w:pPr>
          </w:p>
          <w:p w14:paraId="0BC0328F" w14:textId="77777777" w:rsidR="00672F3C" w:rsidRDefault="00672F3C" w:rsidP="000B03D4">
            <w:pPr>
              <w:spacing w:after="0" w:line="240" w:lineRule="auto"/>
              <w:rPr>
                <w:rFonts w:cs="Calibri"/>
                <w:b/>
              </w:rPr>
            </w:pPr>
          </w:p>
          <w:p w14:paraId="67605610" w14:textId="77777777" w:rsidR="00672F3C" w:rsidRDefault="00672F3C" w:rsidP="000B03D4">
            <w:pPr>
              <w:spacing w:after="0" w:line="240" w:lineRule="auto"/>
              <w:rPr>
                <w:rFonts w:cs="Calibri"/>
                <w:b/>
              </w:rPr>
            </w:pPr>
          </w:p>
          <w:p w14:paraId="75D293E7" w14:textId="77777777" w:rsidR="00672F3C" w:rsidRDefault="00672F3C" w:rsidP="000B03D4">
            <w:pPr>
              <w:spacing w:after="0" w:line="240" w:lineRule="auto"/>
              <w:rPr>
                <w:rFonts w:cs="Calibri"/>
                <w:b/>
              </w:rPr>
            </w:pPr>
          </w:p>
          <w:p w14:paraId="2A80FAEF" w14:textId="77777777" w:rsidR="00672F3C" w:rsidRDefault="00672F3C" w:rsidP="000B03D4">
            <w:pPr>
              <w:spacing w:after="0" w:line="240" w:lineRule="auto"/>
              <w:rPr>
                <w:rFonts w:cs="Calibri"/>
                <w:b/>
              </w:rPr>
            </w:pPr>
          </w:p>
          <w:p w14:paraId="31275999" w14:textId="77777777" w:rsidR="00672F3C" w:rsidRDefault="00672F3C" w:rsidP="000B03D4">
            <w:pPr>
              <w:spacing w:after="0" w:line="240" w:lineRule="auto"/>
              <w:rPr>
                <w:rFonts w:cs="Calibri"/>
                <w:b/>
              </w:rPr>
            </w:pPr>
          </w:p>
          <w:p w14:paraId="4DA513F4" w14:textId="77777777" w:rsidR="00672F3C" w:rsidRDefault="00672F3C" w:rsidP="000B03D4">
            <w:pPr>
              <w:spacing w:after="0" w:line="240" w:lineRule="auto"/>
              <w:rPr>
                <w:rFonts w:cs="Calibri"/>
                <w:b/>
              </w:rPr>
            </w:pPr>
          </w:p>
          <w:p w14:paraId="50FB5B85" w14:textId="77777777" w:rsidR="00672F3C" w:rsidRDefault="00672F3C" w:rsidP="000B03D4">
            <w:pPr>
              <w:spacing w:after="0" w:line="240" w:lineRule="auto"/>
              <w:rPr>
                <w:rFonts w:cs="Calibri"/>
                <w:b/>
              </w:rPr>
            </w:pPr>
          </w:p>
          <w:p w14:paraId="55F2DC06" w14:textId="77777777" w:rsidR="00672F3C" w:rsidRDefault="00672F3C" w:rsidP="000B03D4">
            <w:pPr>
              <w:spacing w:after="0" w:line="240" w:lineRule="auto"/>
              <w:rPr>
                <w:rFonts w:cs="Calibri"/>
                <w:b/>
              </w:rPr>
            </w:pPr>
          </w:p>
          <w:p w14:paraId="60EFC2CC" w14:textId="77777777" w:rsidR="00672F3C" w:rsidRDefault="00672F3C" w:rsidP="000B03D4">
            <w:pPr>
              <w:spacing w:after="0" w:line="240" w:lineRule="auto"/>
              <w:rPr>
                <w:rFonts w:cs="Calibri"/>
                <w:b/>
              </w:rPr>
            </w:pPr>
          </w:p>
          <w:p w14:paraId="6910E62C" w14:textId="77777777" w:rsidR="00672F3C" w:rsidRDefault="00672F3C" w:rsidP="000B03D4">
            <w:pPr>
              <w:spacing w:after="0" w:line="240" w:lineRule="auto"/>
              <w:rPr>
                <w:rFonts w:cs="Calibri"/>
                <w:b/>
              </w:rPr>
            </w:pPr>
          </w:p>
          <w:p w14:paraId="715DA671" w14:textId="77777777" w:rsidR="004C6E69" w:rsidRDefault="004C6E69" w:rsidP="000B03D4">
            <w:pPr>
              <w:spacing w:after="0" w:line="240" w:lineRule="auto"/>
              <w:rPr>
                <w:rFonts w:cs="Calibri"/>
                <w:b/>
              </w:rPr>
            </w:pPr>
          </w:p>
          <w:p w14:paraId="30C72C8C" w14:textId="77777777" w:rsidR="004C6E69" w:rsidRDefault="004C6E69" w:rsidP="000B03D4">
            <w:pPr>
              <w:spacing w:after="0" w:line="240" w:lineRule="auto"/>
              <w:rPr>
                <w:rFonts w:cs="Calibri"/>
                <w:b/>
              </w:rPr>
            </w:pPr>
          </w:p>
          <w:p w14:paraId="6404B51F" w14:textId="77777777" w:rsidR="004C6E69" w:rsidRDefault="004C6E69" w:rsidP="000B03D4">
            <w:pPr>
              <w:spacing w:after="0" w:line="240" w:lineRule="auto"/>
              <w:rPr>
                <w:rFonts w:cs="Calibri"/>
                <w:b/>
              </w:rPr>
            </w:pPr>
          </w:p>
          <w:p w14:paraId="485B0C90" w14:textId="77777777" w:rsidR="00672F3C" w:rsidRDefault="00672F3C" w:rsidP="000B03D4">
            <w:pPr>
              <w:spacing w:after="0" w:line="240" w:lineRule="auto"/>
              <w:rPr>
                <w:rFonts w:cs="Calibri"/>
                <w:b/>
              </w:rPr>
            </w:pPr>
          </w:p>
          <w:p w14:paraId="4FE935B5" w14:textId="05AF74FB" w:rsidR="009176C7" w:rsidRPr="00BC3448" w:rsidRDefault="006655E1" w:rsidP="00FC6376">
            <w:pPr>
              <w:spacing w:after="0" w:line="240" w:lineRule="auto"/>
              <w:rPr>
                <w:rFonts w:cs="Calibri"/>
                <w:b/>
              </w:rPr>
            </w:pPr>
            <w:r w:rsidRPr="006655E1">
              <w:rPr>
                <w:rFonts w:cs="Calibri"/>
                <w:b/>
              </w:rPr>
              <w:t xml:space="preserve">Executive </w:t>
            </w:r>
            <w:r w:rsidRPr="006655E1">
              <w:rPr>
                <w:rFonts w:cs="Calibri"/>
                <w:b/>
              </w:rPr>
              <w:lastRenderedPageBreak/>
              <w:t>Team</w:t>
            </w:r>
          </w:p>
        </w:tc>
      </w:tr>
      <w:tr w:rsidR="001D50A9" w:rsidRPr="000C0AF8" w14:paraId="1E111CC7" w14:textId="77777777" w:rsidTr="00C528EC">
        <w:trPr>
          <w:gridAfter w:val="1"/>
          <w:wAfter w:w="283" w:type="dxa"/>
          <w:trHeight w:val="274"/>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5E2AFBC2" w14:textId="2A3F8908" w:rsidR="001D50A9" w:rsidRDefault="00ED659F" w:rsidP="00BF6730">
            <w:pPr>
              <w:spacing w:after="0" w:line="240" w:lineRule="auto"/>
              <w:jc w:val="both"/>
              <w:rPr>
                <w:rFonts w:cs="Calibri"/>
                <w:b/>
              </w:rPr>
            </w:pPr>
            <w:r>
              <w:rPr>
                <w:rFonts w:cs="Calibri"/>
                <w:b/>
              </w:rPr>
              <w:lastRenderedPageBreak/>
              <w:t>8</w:t>
            </w:r>
            <w:r w:rsidR="004E362A">
              <w:rPr>
                <w:rFonts w:cs="Calibri"/>
                <w:b/>
              </w:rPr>
              <w:t>.</w:t>
            </w:r>
          </w:p>
        </w:tc>
        <w:tc>
          <w:tcPr>
            <w:tcW w:w="7760" w:type="dxa"/>
            <w:gridSpan w:val="3"/>
            <w:tcBorders>
              <w:top w:val="single" w:sz="4" w:space="0" w:color="auto"/>
              <w:left w:val="single" w:sz="4" w:space="0" w:color="auto"/>
              <w:bottom w:val="single" w:sz="4" w:space="0" w:color="auto"/>
              <w:right w:val="single" w:sz="4" w:space="0" w:color="auto"/>
            </w:tcBorders>
            <w:shd w:val="clear" w:color="auto" w:fill="FFFFFF"/>
          </w:tcPr>
          <w:p w14:paraId="32092B6D" w14:textId="3FBEF0EE" w:rsidR="00086338" w:rsidRDefault="00ED659F" w:rsidP="00033516">
            <w:pPr>
              <w:spacing w:after="0" w:line="240" w:lineRule="auto"/>
              <w:rPr>
                <w:rFonts w:cs="Calibri"/>
                <w:b/>
              </w:rPr>
            </w:pPr>
            <w:r>
              <w:rPr>
                <w:rFonts w:cs="Calibri"/>
                <w:b/>
              </w:rPr>
              <w:t>Review of the Hearing Process Guidance &amp; Rules 2016 version 1.02</w:t>
            </w:r>
          </w:p>
          <w:p w14:paraId="24D3C84B" w14:textId="2B4258B1" w:rsidR="00033516" w:rsidRDefault="00126ABD" w:rsidP="00126ABD">
            <w:pPr>
              <w:spacing w:after="0" w:line="240" w:lineRule="auto"/>
              <w:rPr>
                <w:rFonts w:cs="Calibri"/>
              </w:rPr>
            </w:pPr>
            <w:r w:rsidRPr="00126ABD">
              <w:rPr>
                <w:rFonts w:cs="Calibri"/>
              </w:rPr>
              <w:t xml:space="preserve">Members </w:t>
            </w:r>
            <w:r w:rsidR="00ED659F">
              <w:rPr>
                <w:rFonts w:cs="Calibri"/>
              </w:rPr>
              <w:t>agreed</w:t>
            </w:r>
            <w:r w:rsidR="005E4010">
              <w:rPr>
                <w:rFonts w:cs="Calibri"/>
              </w:rPr>
              <w:t xml:space="preserve"> </w:t>
            </w:r>
            <w:r w:rsidR="008F1965">
              <w:rPr>
                <w:rFonts w:cs="Calibri"/>
              </w:rPr>
              <w:t>minor</w:t>
            </w:r>
            <w:r w:rsidR="005E4010">
              <w:rPr>
                <w:rFonts w:cs="Calibri"/>
              </w:rPr>
              <w:t xml:space="preserve"> changes </w:t>
            </w:r>
            <w:r w:rsidR="006E1A85">
              <w:rPr>
                <w:rFonts w:cs="Calibri"/>
              </w:rPr>
              <w:t>to the Rules</w:t>
            </w:r>
            <w:r w:rsidR="005E4010">
              <w:rPr>
                <w:rFonts w:cs="Calibri"/>
              </w:rPr>
              <w:t>, which</w:t>
            </w:r>
            <w:r w:rsidR="006E1A85">
              <w:rPr>
                <w:rFonts w:cs="Calibri"/>
              </w:rPr>
              <w:t xml:space="preserve"> included</w:t>
            </w:r>
            <w:r w:rsidR="008F1965">
              <w:rPr>
                <w:rFonts w:cs="Calibri"/>
              </w:rPr>
              <w:t xml:space="preserve"> remov</w:t>
            </w:r>
            <w:r w:rsidR="006E1A85">
              <w:rPr>
                <w:rFonts w:cs="Calibri"/>
              </w:rPr>
              <w:t>ing</w:t>
            </w:r>
            <w:r w:rsidR="008F1965">
              <w:rPr>
                <w:rFonts w:cs="Calibri"/>
              </w:rPr>
              <w:t xml:space="preserve"> </w:t>
            </w:r>
            <w:r w:rsidR="006E1A85">
              <w:rPr>
                <w:rFonts w:cs="Calibri"/>
              </w:rPr>
              <w:t>a</w:t>
            </w:r>
            <w:r w:rsidR="008F1965">
              <w:rPr>
                <w:rFonts w:cs="Calibri"/>
              </w:rPr>
              <w:t xml:space="preserve"> reference to the CESPLS being allowed to question witnesses or the Respondent a</w:t>
            </w:r>
            <w:r w:rsidR="006E1A85">
              <w:rPr>
                <w:rFonts w:cs="Calibri"/>
              </w:rPr>
              <w:t>t</w:t>
            </w:r>
            <w:r w:rsidR="008F1965">
              <w:rPr>
                <w:rFonts w:cs="Calibri"/>
              </w:rPr>
              <w:t xml:space="preserve"> the mitigation stage</w:t>
            </w:r>
            <w:r w:rsidR="005E4010">
              <w:rPr>
                <w:rFonts w:cs="Calibri"/>
              </w:rPr>
              <w:t xml:space="preserve"> </w:t>
            </w:r>
            <w:r w:rsidR="008F1965">
              <w:rPr>
                <w:rFonts w:cs="Calibri"/>
              </w:rPr>
              <w:t>and also provid</w:t>
            </w:r>
            <w:r w:rsidR="006E1A85">
              <w:rPr>
                <w:rFonts w:cs="Calibri"/>
              </w:rPr>
              <w:t>ing</w:t>
            </w:r>
            <w:r w:rsidR="008F1965">
              <w:rPr>
                <w:rFonts w:cs="Calibri"/>
              </w:rPr>
              <w:t xml:space="preserve"> clarification that the Standards Commission would not pay for the cost of a party’s representative.</w:t>
            </w:r>
          </w:p>
          <w:p w14:paraId="67FDBD56" w14:textId="77777777" w:rsidR="00672F3C" w:rsidRDefault="00672F3C" w:rsidP="00126ABD">
            <w:pPr>
              <w:spacing w:after="0" w:line="240" w:lineRule="auto"/>
              <w:rPr>
                <w:rFonts w:cs="Calibri"/>
              </w:rPr>
            </w:pPr>
          </w:p>
          <w:p w14:paraId="0C5581F5" w14:textId="77777777" w:rsidR="008F1965" w:rsidRDefault="00ED659F" w:rsidP="008F1965">
            <w:pPr>
              <w:spacing w:after="0" w:line="240" w:lineRule="auto"/>
              <w:rPr>
                <w:rFonts w:cs="Calibri"/>
              </w:rPr>
            </w:pPr>
            <w:r>
              <w:rPr>
                <w:rFonts w:cs="Calibri"/>
              </w:rPr>
              <w:t xml:space="preserve">Members asked the Executive Team to make the agreed amendments and to </w:t>
            </w:r>
            <w:r w:rsidR="006E1A85">
              <w:rPr>
                <w:rFonts w:cs="Calibri"/>
              </w:rPr>
              <w:t xml:space="preserve">then publish and circulate </w:t>
            </w:r>
            <w:r>
              <w:rPr>
                <w:rFonts w:cs="Calibri"/>
              </w:rPr>
              <w:t>the revised version.</w:t>
            </w:r>
          </w:p>
          <w:p w14:paraId="6BB7BAF6" w14:textId="7959D3FE" w:rsidR="00672F3C" w:rsidRPr="001D50A9" w:rsidRDefault="00672F3C" w:rsidP="008F1965">
            <w:pPr>
              <w:spacing w:after="0" w:line="240" w:lineRule="auto"/>
              <w:rPr>
                <w:rFonts w:cs="Calibri"/>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028C67C8" w14:textId="77777777" w:rsidR="001D50A9" w:rsidRDefault="001D50A9" w:rsidP="000B03D4">
            <w:pPr>
              <w:spacing w:after="0" w:line="240" w:lineRule="auto"/>
              <w:rPr>
                <w:rFonts w:cs="Calibri"/>
                <w:b/>
              </w:rPr>
            </w:pPr>
          </w:p>
          <w:p w14:paraId="5F76133C" w14:textId="77777777" w:rsidR="00033516" w:rsidRDefault="00033516" w:rsidP="002819DC">
            <w:pPr>
              <w:spacing w:after="0" w:line="240" w:lineRule="auto"/>
              <w:rPr>
                <w:rFonts w:cs="Calibri"/>
                <w:b/>
              </w:rPr>
            </w:pPr>
          </w:p>
          <w:p w14:paraId="2502778E" w14:textId="77777777" w:rsidR="00ED659F" w:rsidRDefault="00ED659F" w:rsidP="002819DC">
            <w:pPr>
              <w:spacing w:after="0" w:line="240" w:lineRule="auto"/>
              <w:rPr>
                <w:rFonts w:cs="Calibri"/>
                <w:b/>
              </w:rPr>
            </w:pPr>
          </w:p>
          <w:p w14:paraId="75D9A4A4" w14:textId="77777777" w:rsidR="008F1965" w:rsidRDefault="008F1965" w:rsidP="002819DC">
            <w:pPr>
              <w:spacing w:after="0" w:line="240" w:lineRule="auto"/>
              <w:rPr>
                <w:rFonts w:cs="Calibri"/>
                <w:b/>
              </w:rPr>
            </w:pPr>
          </w:p>
          <w:p w14:paraId="47675531" w14:textId="77777777" w:rsidR="00672F3C" w:rsidRDefault="00672F3C" w:rsidP="002819DC">
            <w:pPr>
              <w:spacing w:after="0" w:line="240" w:lineRule="auto"/>
              <w:rPr>
                <w:rFonts w:cs="Calibri"/>
                <w:b/>
              </w:rPr>
            </w:pPr>
          </w:p>
          <w:p w14:paraId="06C716AD" w14:textId="77777777" w:rsidR="008F1965" w:rsidRDefault="008F1965" w:rsidP="002819DC">
            <w:pPr>
              <w:spacing w:after="0" w:line="240" w:lineRule="auto"/>
              <w:rPr>
                <w:rFonts w:cs="Calibri"/>
                <w:b/>
              </w:rPr>
            </w:pPr>
          </w:p>
          <w:p w14:paraId="7EB16541" w14:textId="68EBC4CA" w:rsidR="00086338" w:rsidRDefault="00ED659F" w:rsidP="002819DC">
            <w:pPr>
              <w:spacing w:after="0" w:line="240" w:lineRule="auto"/>
              <w:rPr>
                <w:rFonts w:cs="Calibri"/>
                <w:b/>
              </w:rPr>
            </w:pPr>
            <w:r>
              <w:rPr>
                <w:rFonts w:cs="Calibri"/>
                <w:b/>
              </w:rPr>
              <w:t>Executive Team</w:t>
            </w:r>
          </w:p>
          <w:p w14:paraId="76866D04" w14:textId="77777777" w:rsidR="009619E9" w:rsidRDefault="009619E9" w:rsidP="00126ABD">
            <w:pPr>
              <w:spacing w:after="0" w:line="240" w:lineRule="auto"/>
              <w:rPr>
                <w:rFonts w:cs="Calibri"/>
                <w:b/>
              </w:rPr>
            </w:pPr>
          </w:p>
        </w:tc>
      </w:tr>
      <w:tr w:rsidR="006358EC" w:rsidRPr="000C0AF8" w14:paraId="55BBC768" w14:textId="77777777" w:rsidTr="00B21E8F">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1189CE8B" w14:textId="3F10094D" w:rsidR="006358EC" w:rsidRDefault="00FA5276" w:rsidP="006358EC">
            <w:pPr>
              <w:spacing w:after="0" w:line="240" w:lineRule="auto"/>
              <w:jc w:val="both"/>
              <w:rPr>
                <w:rFonts w:cs="Calibri"/>
                <w:b/>
              </w:rPr>
            </w:pPr>
            <w:r>
              <w:rPr>
                <w:rFonts w:cs="Calibri"/>
                <w:b/>
              </w:rPr>
              <w:t>9</w:t>
            </w:r>
            <w:r w:rsidR="006358EC">
              <w:rPr>
                <w:rFonts w:cs="Calibri"/>
                <w:b/>
              </w:rPr>
              <w:t>.</w:t>
            </w:r>
          </w:p>
        </w:tc>
        <w:tc>
          <w:tcPr>
            <w:tcW w:w="7760" w:type="dxa"/>
            <w:gridSpan w:val="3"/>
            <w:tcBorders>
              <w:top w:val="single" w:sz="4" w:space="0" w:color="auto"/>
              <w:left w:val="single" w:sz="4" w:space="0" w:color="auto"/>
              <w:bottom w:val="single" w:sz="4" w:space="0" w:color="auto"/>
              <w:right w:val="single" w:sz="4" w:space="0" w:color="auto"/>
            </w:tcBorders>
            <w:shd w:val="clear" w:color="auto" w:fill="FFFFFF"/>
          </w:tcPr>
          <w:p w14:paraId="6EC57293" w14:textId="0789DDD8" w:rsidR="006358EC" w:rsidRDefault="00ED659F" w:rsidP="005D45F1">
            <w:pPr>
              <w:spacing w:after="0" w:line="240" w:lineRule="auto"/>
              <w:rPr>
                <w:rFonts w:cs="Calibri"/>
                <w:b/>
              </w:rPr>
            </w:pPr>
            <w:r>
              <w:rPr>
                <w:rFonts w:cs="Calibri"/>
                <w:b/>
              </w:rPr>
              <w:t>Abbreviated Hearing Process</w:t>
            </w:r>
          </w:p>
          <w:p w14:paraId="47FB3961" w14:textId="7A2EDAFE" w:rsidR="00F11378" w:rsidRDefault="00126ABD" w:rsidP="00165512">
            <w:pPr>
              <w:spacing w:after="0" w:line="240" w:lineRule="auto"/>
              <w:rPr>
                <w:rFonts w:cs="Calibri"/>
              </w:rPr>
            </w:pPr>
            <w:r w:rsidRPr="005961EB">
              <w:rPr>
                <w:rFonts w:cs="Calibri"/>
              </w:rPr>
              <w:t>Members</w:t>
            </w:r>
            <w:r w:rsidR="008F1965">
              <w:rPr>
                <w:rFonts w:cs="Calibri"/>
              </w:rPr>
              <w:t xml:space="preserve"> agreed</w:t>
            </w:r>
            <w:r w:rsidR="00F11378">
              <w:rPr>
                <w:rFonts w:cs="Calibri"/>
              </w:rPr>
              <w:t xml:space="preserve">, with immediate effect, </w:t>
            </w:r>
            <w:r w:rsidR="004C6E69">
              <w:rPr>
                <w:rFonts w:cs="Calibri"/>
              </w:rPr>
              <w:t>an</w:t>
            </w:r>
            <w:r w:rsidR="00F11378">
              <w:rPr>
                <w:rFonts w:cs="Calibri"/>
              </w:rPr>
              <w:t xml:space="preserve"> Abbreviated Hearing Process, which was to be used in circumstances where there was little or no dispute between the parties as to the factual circumstances behind the alleged breach of either the Councillors’ or Public Body’s Code of Conduct in order to ensure Hearings were conducted in the most efficient manner.   Members agreed the </w:t>
            </w:r>
            <w:r w:rsidR="00F11378" w:rsidRPr="00F11378">
              <w:rPr>
                <w:rFonts w:cs="Calibri"/>
              </w:rPr>
              <w:t>Abbreviated Hearing Process</w:t>
            </w:r>
            <w:r w:rsidR="00F11378">
              <w:rPr>
                <w:rFonts w:cs="Calibri"/>
              </w:rPr>
              <w:t xml:space="preserve"> </w:t>
            </w:r>
            <w:r w:rsidR="004C6E69">
              <w:rPr>
                <w:rFonts w:cs="Calibri"/>
              </w:rPr>
              <w:t>sh</w:t>
            </w:r>
            <w:r w:rsidR="00F11378">
              <w:rPr>
                <w:rFonts w:cs="Calibri"/>
              </w:rPr>
              <w:t xml:space="preserve">ould </w:t>
            </w:r>
            <w:r w:rsidR="004C6E69">
              <w:rPr>
                <w:rFonts w:cs="Calibri"/>
              </w:rPr>
              <w:t xml:space="preserve">only </w:t>
            </w:r>
            <w:r w:rsidR="00F11378">
              <w:rPr>
                <w:rFonts w:cs="Calibri"/>
              </w:rPr>
              <w:t xml:space="preserve">be used where there was agreement to do so from the Hearing Panel and both parties. </w:t>
            </w:r>
          </w:p>
          <w:p w14:paraId="042138D9" w14:textId="77777777" w:rsidR="00F11378" w:rsidRDefault="00F11378" w:rsidP="00165512">
            <w:pPr>
              <w:spacing w:after="0" w:line="240" w:lineRule="auto"/>
              <w:rPr>
                <w:rFonts w:cs="Calibri"/>
              </w:rPr>
            </w:pPr>
          </w:p>
          <w:p w14:paraId="27C96791" w14:textId="308FD758" w:rsidR="00AC04B8" w:rsidRDefault="00F11378" w:rsidP="00165512">
            <w:pPr>
              <w:spacing w:after="0" w:line="240" w:lineRule="auto"/>
              <w:rPr>
                <w:rFonts w:cs="Calibri"/>
              </w:rPr>
            </w:pPr>
            <w:r>
              <w:rPr>
                <w:rFonts w:cs="Calibri"/>
              </w:rPr>
              <w:t>Members agreed proposed changes to the Hearing Rules to accommodate and refer to the Abbreviated Hearing Process.  The Abbreviated Hearing Process should be finalised and published on the website.</w:t>
            </w:r>
          </w:p>
          <w:p w14:paraId="7496EA62" w14:textId="77777777" w:rsidR="00126ABD" w:rsidRDefault="00126ABD" w:rsidP="00165512">
            <w:pPr>
              <w:spacing w:after="0" w:line="240" w:lineRule="auto"/>
              <w:rPr>
                <w:rFonts w:cs="Calibri"/>
                <w:b/>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5CAAA118" w14:textId="77777777" w:rsidR="006358EC" w:rsidRDefault="006358EC" w:rsidP="00135A0D">
            <w:pPr>
              <w:spacing w:after="0" w:line="240" w:lineRule="auto"/>
              <w:rPr>
                <w:rFonts w:cs="Calibri"/>
                <w:b/>
              </w:rPr>
            </w:pPr>
          </w:p>
          <w:p w14:paraId="18F2FA5A" w14:textId="77777777" w:rsidR="006B6EB3" w:rsidRDefault="006B6EB3" w:rsidP="00135A0D">
            <w:pPr>
              <w:spacing w:after="0" w:line="240" w:lineRule="auto"/>
              <w:rPr>
                <w:rFonts w:cs="Calibri"/>
                <w:b/>
              </w:rPr>
            </w:pPr>
          </w:p>
          <w:p w14:paraId="098E8047" w14:textId="77777777" w:rsidR="00F11378" w:rsidRDefault="00F11378" w:rsidP="00135A0D">
            <w:pPr>
              <w:spacing w:after="0" w:line="240" w:lineRule="auto"/>
              <w:rPr>
                <w:rFonts w:cs="Calibri"/>
                <w:b/>
              </w:rPr>
            </w:pPr>
          </w:p>
          <w:p w14:paraId="3ADBD40C" w14:textId="77777777" w:rsidR="00F11378" w:rsidRDefault="00F11378" w:rsidP="00135A0D">
            <w:pPr>
              <w:spacing w:after="0" w:line="240" w:lineRule="auto"/>
              <w:rPr>
                <w:rFonts w:cs="Calibri"/>
                <w:b/>
              </w:rPr>
            </w:pPr>
          </w:p>
          <w:p w14:paraId="1E62A94D" w14:textId="77777777" w:rsidR="00F11378" w:rsidRDefault="00F11378" w:rsidP="00135A0D">
            <w:pPr>
              <w:spacing w:after="0" w:line="240" w:lineRule="auto"/>
              <w:rPr>
                <w:rFonts w:cs="Calibri"/>
                <w:b/>
              </w:rPr>
            </w:pPr>
          </w:p>
          <w:p w14:paraId="4A05B9C0" w14:textId="77777777" w:rsidR="00F11378" w:rsidRDefault="00F11378" w:rsidP="00135A0D">
            <w:pPr>
              <w:spacing w:after="0" w:line="240" w:lineRule="auto"/>
              <w:rPr>
                <w:rFonts w:cs="Calibri"/>
                <w:b/>
              </w:rPr>
            </w:pPr>
          </w:p>
          <w:p w14:paraId="58B3DF3A" w14:textId="77777777" w:rsidR="00F11378" w:rsidRDefault="00F11378" w:rsidP="00135A0D">
            <w:pPr>
              <w:spacing w:after="0" w:line="240" w:lineRule="auto"/>
              <w:rPr>
                <w:rFonts w:cs="Calibri"/>
                <w:b/>
              </w:rPr>
            </w:pPr>
          </w:p>
          <w:p w14:paraId="0787A42B" w14:textId="77777777" w:rsidR="00F11378" w:rsidRDefault="00F11378" w:rsidP="00135A0D">
            <w:pPr>
              <w:spacing w:after="0" w:line="240" w:lineRule="auto"/>
              <w:rPr>
                <w:rFonts w:cs="Calibri"/>
                <w:b/>
              </w:rPr>
            </w:pPr>
          </w:p>
          <w:p w14:paraId="79B1AEE7" w14:textId="77777777" w:rsidR="00F11378" w:rsidRDefault="00F11378" w:rsidP="00135A0D">
            <w:pPr>
              <w:spacing w:after="0" w:line="240" w:lineRule="auto"/>
              <w:rPr>
                <w:rFonts w:cs="Calibri"/>
                <w:b/>
              </w:rPr>
            </w:pPr>
          </w:p>
          <w:p w14:paraId="19451560" w14:textId="77777777" w:rsidR="00F11378" w:rsidRDefault="00F11378" w:rsidP="00135A0D">
            <w:pPr>
              <w:spacing w:after="0" w:line="240" w:lineRule="auto"/>
              <w:rPr>
                <w:rFonts w:cs="Calibri"/>
                <w:b/>
              </w:rPr>
            </w:pPr>
          </w:p>
          <w:p w14:paraId="3C7B0000" w14:textId="77777777" w:rsidR="00165512" w:rsidRDefault="00165512" w:rsidP="00135A0D">
            <w:pPr>
              <w:spacing w:after="0" w:line="240" w:lineRule="auto"/>
              <w:rPr>
                <w:rFonts w:cs="Calibri"/>
                <w:b/>
              </w:rPr>
            </w:pPr>
            <w:r>
              <w:rPr>
                <w:rFonts w:cs="Calibri"/>
                <w:b/>
              </w:rPr>
              <w:t>Executive Team</w:t>
            </w:r>
          </w:p>
        </w:tc>
      </w:tr>
      <w:tr w:rsidR="00FA5276" w:rsidRPr="000C0AF8" w14:paraId="2EE615C2" w14:textId="77777777" w:rsidTr="00B21E8F">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18751A3A" w14:textId="0626B3E2" w:rsidR="00FA5276" w:rsidRDefault="006E1A85" w:rsidP="006358EC">
            <w:pPr>
              <w:spacing w:after="0" w:line="240" w:lineRule="auto"/>
              <w:jc w:val="both"/>
              <w:rPr>
                <w:rFonts w:cs="Calibri"/>
                <w:b/>
              </w:rPr>
            </w:pPr>
            <w:r>
              <w:rPr>
                <w:rFonts w:cs="Calibri"/>
                <w:b/>
              </w:rPr>
              <w:t>10.</w:t>
            </w:r>
          </w:p>
        </w:tc>
        <w:tc>
          <w:tcPr>
            <w:tcW w:w="7760" w:type="dxa"/>
            <w:gridSpan w:val="3"/>
            <w:tcBorders>
              <w:top w:val="single" w:sz="4" w:space="0" w:color="auto"/>
              <w:left w:val="single" w:sz="4" w:space="0" w:color="auto"/>
              <w:bottom w:val="single" w:sz="4" w:space="0" w:color="auto"/>
              <w:right w:val="single" w:sz="4" w:space="0" w:color="auto"/>
            </w:tcBorders>
            <w:shd w:val="clear" w:color="auto" w:fill="FFFFFF"/>
          </w:tcPr>
          <w:p w14:paraId="75E5EC69" w14:textId="02567475" w:rsidR="00FA5276" w:rsidRPr="00CE3EC3" w:rsidRDefault="00FA5276" w:rsidP="00FA5276">
            <w:pPr>
              <w:spacing w:after="0" w:line="240" w:lineRule="auto"/>
              <w:rPr>
                <w:rFonts w:cs="Calibri"/>
                <w:b/>
              </w:rPr>
            </w:pPr>
            <w:r>
              <w:rPr>
                <w:rFonts w:cs="Calibri"/>
                <w:b/>
              </w:rPr>
              <w:t>Annual Review of Decisions taken under Section 16 of the 2000 Act</w:t>
            </w:r>
          </w:p>
          <w:p w14:paraId="3D4E801A" w14:textId="73E6EB8E" w:rsidR="00FA5276" w:rsidRDefault="00FA5276" w:rsidP="00FA5276">
            <w:pPr>
              <w:spacing w:after="0" w:line="240" w:lineRule="auto"/>
              <w:rPr>
                <w:rFonts w:cs="Calibri"/>
              </w:rPr>
            </w:pPr>
            <w:r w:rsidRPr="00CE3EC3">
              <w:rPr>
                <w:rFonts w:cs="Calibri"/>
              </w:rPr>
              <w:t xml:space="preserve">Members </w:t>
            </w:r>
            <w:r w:rsidR="006E1A85">
              <w:rPr>
                <w:rFonts w:cs="Calibri"/>
              </w:rPr>
              <w:t>agreed the annual</w:t>
            </w:r>
            <w:r w:rsidRPr="00CE3EC3">
              <w:rPr>
                <w:rFonts w:cs="Calibri"/>
              </w:rPr>
              <w:t xml:space="preserve"> review of the </w:t>
            </w:r>
            <w:r>
              <w:rPr>
                <w:rFonts w:cs="Calibri"/>
              </w:rPr>
              <w:t>decisions taken to date in 2016</w:t>
            </w:r>
            <w:r w:rsidR="004C6E69">
              <w:rPr>
                <w:rFonts w:cs="Calibri"/>
              </w:rPr>
              <w:t>/</w:t>
            </w:r>
            <w:r>
              <w:rPr>
                <w:rFonts w:cs="Calibri"/>
              </w:rPr>
              <w:t>17 under Section</w:t>
            </w:r>
            <w:r w:rsidR="00DA6BCA">
              <w:rPr>
                <w:rFonts w:cs="Calibri"/>
              </w:rPr>
              <w:t xml:space="preserve"> </w:t>
            </w:r>
            <w:r>
              <w:rPr>
                <w:rFonts w:cs="Calibri"/>
              </w:rPr>
              <w:t xml:space="preserve">16 of the Ethical Standards in Public </w:t>
            </w:r>
            <w:r w:rsidR="006E1A85">
              <w:rPr>
                <w:rFonts w:cs="Calibri"/>
              </w:rPr>
              <w:t>Life etc. (Scotland) Act 2000 would be undertaken at the next meeting on 28 March 2017</w:t>
            </w:r>
            <w:r w:rsidR="008435AD">
              <w:rPr>
                <w:rFonts w:cs="Calibri"/>
              </w:rPr>
              <w:t>.</w:t>
            </w:r>
          </w:p>
          <w:p w14:paraId="5F7BE7B4" w14:textId="6F9B8BC9" w:rsidR="00FA5276" w:rsidRDefault="00FA5276" w:rsidP="00FA5276">
            <w:pPr>
              <w:spacing w:after="0" w:line="240" w:lineRule="auto"/>
              <w:rPr>
                <w:rFonts w:cs="Calibri"/>
                <w:b/>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2F74CCEB" w14:textId="77777777" w:rsidR="00FA5276" w:rsidRDefault="00FA5276" w:rsidP="00135A0D">
            <w:pPr>
              <w:spacing w:after="0" w:line="240" w:lineRule="auto"/>
              <w:rPr>
                <w:rFonts w:cs="Calibri"/>
                <w:b/>
              </w:rPr>
            </w:pPr>
          </w:p>
        </w:tc>
      </w:tr>
      <w:tr w:rsidR="006B6EB3" w:rsidRPr="000C0AF8" w14:paraId="75F18941" w14:textId="77777777" w:rsidTr="00B21E8F">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1FDDBE98" w14:textId="77777777" w:rsidR="006B6EB3" w:rsidRDefault="006B6EB3" w:rsidP="006358EC">
            <w:pPr>
              <w:spacing w:after="0" w:line="240" w:lineRule="auto"/>
              <w:jc w:val="both"/>
              <w:rPr>
                <w:rFonts w:cs="Calibri"/>
                <w:b/>
              </w:rPr>
            </w:pPr>
            <w:r>
              <w:rPr>
                <w:rFonts w:cs="Calibri"/>
                <w:b/>
              </w:rPr>
              <w:t>11.</w:t>
            </w:r>
          </w:p>
        </w:tc>
        <w:tc>
          <w:tcPr>
            <w:tcW w:w="7760" w:type="dxa"/>
            <w:gridSpan w:val="3"/>
            <w:tcBorders>
              <w:top w:val="single" w:sz="4" w:space="0" w:color="auto"/>
              <w:left w:val="single" w:sz="4" w:space="0" w:color="auto"/>
              <w:bottom w:val="single" w:sz="4" w:space="0" w:color="auto"/>
              <w:right w:val="single" w:sz="4" w:space="0" w:color="auto"/>
            </w:tcBorders>
            <w:shd w:val="clear" w:color="auto" w:fill="FFFFFF"/>
          </w:tcPr>
          <w:p w14:paraId="18E59095" w14:textId="4C99A99D" w:rsidR="006B6EB3" w:rsidRDefault="00FA5276" w:rsidP="005D45F1">
            <w:pPr>
              <w:spacing w:after="0" w:line="240" w:lineRule="auto"/>
              <w:rPr>
                <w:rFonts w:cs="Calibri"/>
                <w:b/>
              </w:rPr>
            </w:pPr>
            <w:r>
              <w:rPr>
                <w:rFonts w:cs="Calibri"/>
                <w:b/>
              </w:rPr>
              <w:t xml:space="preserve">Membership of </w:t>
            </w:r>
            <w:r w:rsidR="006B6EB3">
              <w:rPr>
                <w:rFonts w:cs="Calibri"/>
                <w:b/>
              </w:rPr>
              <w:t xml:space="preserve">Audit &amp; Risk </w:t>
            </w:r>
            <w:r>
              <w:rPr>
                <w:rFonts w:cs="Calibri"/>
                <w:b/>
              </w:rPr>
              <w:t>and Human Resources Committees</w:t>
            </w:r>
          </w:p>
          <w:p w14:paraId="623C13B0" w14:textId="7F83F53A" w:rsidR="003A414A" w:rsidRDefault="00FA5276" w:rsidP="008435AD">
            <w:pPr>
              <w:spacing w:after="0" w:line="240" w:lineRule="auto"/>
              <w:rPr>
                <w:rFonts w:cs="Calibri"/>
              </w:rPr>
            </w:pPr>
            <w:r>
              <w:rPr>
                <w:rFonts w:cs="Calibri"/>
              </w:rPr>
              <w:t xml:space="preserve">Following the appointment </w:t>
            </w:r>
            <w:r w:rsidR="00320371">
              <w:rPr>
                <w:rFonts w:cs="Calibri"/>
              </w:rPr>
              <w:t xml:space="preserve">of </w:t>
            </w:r>
            <w:r>
              <w:rPr>
                <w:rFonts w:cs="Calibri"/>
              </w:rPr>
              <w:t>Mr Dunion as Convener</w:t>
            </w:r>
            <w:r w:rsidR="003A414A">
              <w:rPr>
                <w:rFonts w:cs="Calibri"/>
              </w:rPr>
              <w:t xml:space="preserve"> and</w:t>
            </w:r>
            <w:r>
              <w:rPr>
                <w:rFonts w:cs="Calibri"/>
              </w:rPr>
              <w:t xml:space="preserve"> the </w:t>
            </w:r>
            <w:r w:rsidR="003A414A">
              <w:rPr>
                <w:rFonts w:cs="Calibri"/>
              </w:rPr>
              <w:t>appointments of Mr McCormick and Mrs Stewart</w:t>
            </w:r>
            <w:r>
              <w:rPr>
                <w:rFonts w:cs="Calibri"/>
              </w:rPr>
              <w:t xml:space="preserve">, </w:t>
            </w:r>
            <w:r w:rsidR="00095A78" w:rsidRPr="00543431">
              <w:rPr>
                <w:rFonts w:cs="Calibri"/>
              </w:rPr>
              <w:t>Members</w:t>
            </w:r>
            <w:r>
              <w:rPr>
                <w:rFonts w:cs="Calibri"/>
              </w:rPr>
              <w:t xml:space="preserve"> agreed </w:t>
            </w:r>
            <w:r w:rsidR="008435AD">
              <w:rPr>
                <w:rFonts w:cs="Calibri"/>
              </w:rPr>
              <w:t>to co-opt Mr McCormick as a member for the</w:t>
            </w:r>
            <w:r w:rsidR="003A414A">
              <w:rPr>
                <w:rFonts w:cs="Calibri"/>
              </w:rPr>
              <w:t xml:space="preserve"> Human Resources Committee</w:t>
            </w:r>
            <w:r w:rsidR="008435AD">
              <w:rPr>
                <w:rFonts w:cs="Calibri"/>
              </w:rPr>
              <w:t xml:space="preserve">, which was next due to meet </w:t>
            </w:r>
            <w:r w:rsidR="004C6E69">
              <w:rPr>
                <w:rFonts w:cs="Calibri"/>
              </w:rPr>
              <w:t>o</w:t>
            </w:r>
            <w:r w:rsidR="008435AD">
              <w:rPr>
                <w:rFonts w:cs="Calibri"/>
              </w:rPr>
              <w:t xml:space="preserve">n 28 March 2017.  </w:t>
            </w:r>
            <w:r w:rsidR="003A414A">
              <w:rPr>
                <w:rFonts w:cs="Calibri"/>
              </w:rPr>
              <w:t>Members agreed they would review the composition</w:t>
            </w:r>
            <w:r w:rsidR="008435AD">
              <w:rPr>
                <w:rFonts w:cs="Calibri"/>
              </w:rPr>
              <w:t xml:space="preserve"> of the </w:t>
            </w:r>
            <w:r w:rsidR="004C6E69">
              <w:rPr>
                <w:rFonts w:cs="Calibri"/>
              </w:rPr>
              <w:t xml:space="preserve">Audit &amp; Risk and Human Resources </w:t>
            </w:r>
            <w:r w:rsidR="008435AD">
              <w:rPr>
                <w:rFonts w:cs="Calibri"/>
              </w:rPr>
              <w:t xml:space="preserve">Committees when Mrs Stewart commenced in post on 1 April 2017.  </w:t>
            </w:r>
            <w:r w:rsidR="003A414A">
              <w:rPr>
                <w:rFonts w:cs="Calibri"/>
              </w:rPr>
              <w:t xml:space="preserve"> </w:t>
            </w:r>
          </w:p>
          <w:p w14:paraId="66EC583E" w14:textId="3D181214" w:rsidR="00672F3C" w:rsidRDefault="00672F3C" w:rsidP="008435AD">
            <w:pPr>
              <w:spacing w:after="0" w:line="240" w:lineRule="auto"/>
              <w:rPr>
                <w:rFonts w:cs="Calibri"/>
                <w:b/>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140239F6" w14:textId="77777777" w:rsidR="006B6EB3" w:rsidRDefault="006B6EB3" w:rsidP="00135A0D">
            <w:pPr>
              <w:spacing w:after="0" w:line="240" w:lineRule="auto"/>
              <w:rPr>
                <w:rFonts w:cs="Calibri"/>
                <w:b/>
              </w:rPr>
            </w:pPr>
          </w:p>
          <w:p w14:paraId="1FDEB0B2" w14:textId="77777777" w:rsidR="00543431" w:rsidRDefault="00543431" w:rsidP="00135A0D">
            <w:pPr>
              <w:spacing w:after="0" w:line="240" w:lineRule="auto"/>
              <w:rPr>
                <w:rFonts w:cs="Calibri"/>
                <w:b/>
              </w:rPr>
            </w:pPr>
          </w:p>
          <w:p w14:paraId="290D1529" w14:textId="6EBB1884" w:rsidR="00543431" w:rsidRDefault="00543431" w:rsidP="00543431">
            <w:pPr>
              <w:spacing w:after="0" w:line="240" w:lineRule="auto"/>
              <w:rPr>
                <w:rFonts w:cs="Calibri"/>
                <w:b/>
              </w:rPr>
            </w:pPr>
          </w:p>
        </w:tc>
      </w:tr>
      <w:tr w:rsidR="00165512" w:rsidRPr="000C0AF8" w14:paraId="4B7A33ED" w14:textId="77777777" w:rsidTr="00B21E8F">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4E2B67C4" w14:textId="20D1465E" w:rsidR="00165512" w:rsidRDefault="00165512" w:rsidP="006B6EB3">
            <w:pPr>
              <w:spacing w:after="0" w:line="240" w:lineRule="auto"/>
              <w:jc w:val="both"/>
              <w:rPr>
                <w:rFonts w:cs="Calibri"/>
                <w:b/>
              </w:rPr>
            </w:pPr>
            <w:r>
              <w:rPr>
                <w:rFonts w:cs="Calibri"/>
                <w:b/>
              </w:rPr>
              <w:t>1</w:t>
            </w:r>
            <w:r w:rsidR="006B6EB3">
              <w:rPr>
                <w:rFonts w:cs="Calibri"/>
                <w:b/>
              </w:rPr>
              <w:t>2</w:t>
            </w:r>
            <w:r>
              <w:rPr>
                <w:rFonts w:cs="Calibri"/>
                <w:b/>
              </w:rPr>
              <w:t>.</w:t>
            </w:r>
          </w:p>
        </w:tc>
        <w:tc>
          <w:tcPr>
            <w:tcW w:w="7760" w:type="dxa"/>
            <w:gridSpan w:val="3"/>
            <w:tcBorders>
              <w:top w:val="single" w:sz="4" w:space="0" w:color="auto"/>
              <w:left w:val="single" w:sz="4" w:space="0" w:color="auto"/>
              <w:bottom w:val="single" w:sz="4" w:space="0" w:color="auto"/>
              <w:right w:val="single" w:sz="4" w:space="0" w:color="auto"/>
            </w:tcBorders>
            <w:shd w:val="clear" w:color="auto" w:fill="FFFFFF"/>
          </w:tcPr>
          <w:p w14:paraId="0BFC0EA4" w14:textId="77777777" w:rsidR="00FA5276" w:rsidRPr="00DF050D" w:rsidRDefault="00FA5276" w:rsidP="00FA5276">
            <w:pPr>
              <w:spacing w:after="0" w:line="240" w:lineRule="auto"/>
              <w:rPr>
                <w:rFonts w:cs="Calibri"/>
                <w:b/>
              </w:rPr>
            </w:pPr>
            <w:r w:rsidRPr="00DF050D">
              <w:rPr>
                <w:rFonts w:cs="Calibri"/>
                <w:b/>
              </w:rPr>
              <w:t>Members’ Contribution to Key Principles</w:t>
            </w:r>
          </w:p>
          <w:p w14:paraId="7C5DCCC9" w14:textId="0CE49B2A" w:rsidR="005B1A04" w:rsidRDefault="00FA5276" w:rsidP="00FA5276">
            <w:pPr>
              <w:spacing w:after="0" w:line="240" w:lineRule="auto"/>
              <w:rPr>
                <w:rFonts w:cs="Calibri"/>
                <w:b/>
              </w:rPr>
            </w:pPr>
            <w:r w:rsidRPr="00DF050D">
              <w:rPr>
                <w:rFonts w:cs="Calibri"/>
              </w:rPr>
              <w:t xml:space="preserve">Subject to a few amendments, Members agreed the summary of their contribution </w:t>
            </w:r>
            <w:r w:rsidRPr="00A95779">
              <w:rPr>
                <w:rFonts w:cs="Calibri"/>
              </w:rPr>
              <w:t>to the key principles to be included in the Annual Report for 201</w:t>
            </w:r>
            <w:r>
              <w:rPr>
                <w:rFonts w:cs="Calibri"/>
              </w:rPr>
              <w:t xml:space="preserve">6 </w:t>
            </w:r>
            <w:r w:rsidRPr="00A95779">
              <w:rPr>
                <w:rFonts w:cs="Calibri"/>
              </w:rPr>
              <w:t>/</w:t>
            </w:r>
            <w:r>
              <w:rPr>
                <w:rFonts w:cs="Calibri"/>
              </w:rPr>
              <w:t xml:space="preserve"> 20</w:t>
            </w:r>
            <w:r w:rsidRPr="00A95779">
              <w:rPr>
                <w:rFonts w:cs="Calibri"/>
              </w:rPr>
              <w:t>1</w:t>
            </w:r>
            <w:r>
              <w:rPr>
                <w:rFonts w:cs="Calibri"/>
              </w:rPr>
              <w:t>7</w:t>
            </w:r>
            <w:r w:rsidRPr="00A95779">
              <w:rPr>
                <w:rFonts w:cs="Calibri"/>
              </w:rPr>
              <w:t>.</w:t>
            </w:r>
            <w:r>
              <w:rPr>
                <w:rFonts w:cs="Calibri"/>
              </w:rPr>
              <w:t xml:space="preserve">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3586456A" w14:textId="77777777" w:rsidR="00165512" w:rsidRDefault="00165512" w:rsidP="00135A0D">
            <w:pPr>
              <w:spacing w:after="0" w:line="240" w:lineRule="auto"/>
              <w:rPr>
                <w:rFonts w:cs="Calibri"/>
                <w:b/>
              </w:rPr>
            </w:pPr>
          </w:p>
          <w:p w14:paraId="3203810A" w14:textId="08FFD0F0" w:rsidR="005B1A04" w:rsidRDefault="005B1A04" w:rsidP="00C726F8">
            <w:pPr>
              <w:spacing w:after="0" w:line="240" w:lineRule="auto"/>
              <w:rPr>
                <w:rFonts w:cs="Calibri"/>
                <w:b/>
              </w:rPr>
            </w:pPr>
          </w:p>
        </w:tc>
      </w:tr>
      <w:tr w:rsidR="00F10E38" w:rsidRPr="000C0AF8" w14:paraId="372304C2" w14:textId="77777777" w:rsidTr="00B21E8F">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2A26D607" w14:textId="77777777" w:rsidR="00F10E38" w:rsidRDefault="00F10E38" w:rsidP="006B6EB3">
            <w:pPr>
              <w:spacing w:after="0" w:line="240" w:lineRule="auto"/>
              <w:jc w:val="both"/>
              <w:rPr>
                <w:rFonts w:cs="Calibri"/>
                <w:b/>
              </w:rPr>
            </w:pPr>
            <w:r>
              <w:rPr>
                <w:rFonts w:cs="Calibri"/>
                <w:b/>
              </w:rPr>
              <w:t>1</w:t>
            </w:r>
            <w:r w:rsidR="006B6EB3">
              <w:rPr>
                <w:rFonts w:cs="Calibri"/>
                <w:b/>
              </w:rPr>
              <w:t>3</w:t>
            </w:r>
            <w:r>
              <w:rPr>
                <w:rFonts w:cs="Calibri"/>
                <w:b/>
              </w:rPr>
              <w:t>.</w:t>
            </w:r>
          </w:p>
        </w:tc>
        <w:tc>
          <w:tcPr>
            <w:tcW w:w="7760" w:type="dxa"/>
            <w:gridSpan w:val="3"/>
            <w:tcBorders>
              <w:top w:val="single" w:sz="4" w:space="0" w:color="auto"/>
              <w:left w:val="single" w:sz="4" w:space="0" w:color="auto"/>
              <w:bottom w:val="single" w:sz="4" w:space="0" w:color="auto"/>
              <w:right w:val="single" w:sz="4" w:space="0" w:color="auto"/>
            </w:tcBorders>
            <w:shd w:val="clear" w:color="auto" w:fill="FFFFFF"/>
          </w:tcPr>
          <w:p w14:paraId="2EED9699" w14:textId="28339D46" w:rsidR="00F10E38" w:rsidRDefault="00FA5276" w:rsidP="00F10E38">
            <w:pPr>
              <w:spacing w:after="0" w:line="240" w:lineRule="auto"/>
              <w:rPr>
                <w:rFonts w:cs="Calibri"/>
                <w:b/>
              </w:rPr>
            </w:pPr>
            <w:r>
              <w:rPr>
                <w:rFonts w:cs="Calibri"/>
                <w:b/>
              </w:rPr>
              <w:t>Members Performance Review</w:t>
            </w:r>
          </w:p>
          <w:p w14:paraId="260FB9AA" w14:textId="7B55259B" w:rsidR="00672F3C" w:rsidRDefault="00672F3C" w:rsidP="009E781D">
            <w:pPr>
              <w:spacing w:after="0" w:line="240" w:lineRule="auto"/>
              <w:rPr>
                <w:rFonts w:cs="Calibri"/>
              </w:rPr>
            </w:pPr>
            <w:r>
              <w:rPr>
                <w:rFonts w:cs="Calibri"/>
              </w:rPr>
              <w:t>Members agreed that a standard form should be prepared for Members to complete in advance of their individual annual performance reviews.  The form should enable self-assessment in terms of what was expected of them in the role and enable them to identify what they considered they had done well and where improvements could be made.  It should also facilitate a discussion on what was expected of them going forward, their working relationships with other Members and any areas where they required further development or support.</w:t>
            </w:r>
          </w:p>
          <w:p w14:paraId="26E51D2F" w14:textId="5DF9E832" w:rsidR="00672F3C" w:rsidRPr="00F10E38" w:rsidRDefault="00672F3C" w:rsidP="009E781D">
            <w:pPr>
              <w:spacing w:after="0" w:line="240" w:lineRule="auto"/>
              <w:rPr>
                <w:rFonts w:cs="Calibri"/>
              </w:rPr>
            </w:pPr>
            <w:r>
              <w:rPr>
                <w:rFonts w:cs="Calibri"/>
              </w:rPr>
              <w:t xml:space="preserve">Members noted a similar format had been used in the past and asked </w:t>
            </w:r>
            <w:r w:rsidR="004C6E69">
              <w:rPr>
                <w:rFonts w:cs="Calibri"/>
              </w:rPr>
              <w:t>that the E</w:t>
            </w:r>
            <w:r>
              <w:rPr>
                <w:rFonts w:cs="Calibri"/>
              </w:rPr>
              <w:t xml:space="preserve">xecutive Team to locate and forward </w:t>
            </w:r>
            <w:r w:rsidR="004C6E69">
              <w:rPr>
                <w:rFonts w:cs="Calibri"/>
              </w:rPr>
              <w:t>this</w:t>
            </w:r>
            <w:r>
              <w:rPr>
                <w:rFonts w:cs="Calibri"/>
              </w:rPr>
              <w:t xml:space="preserve"> to the Convener so that it could be adapted as appropriate and circulated.</w:t>
            </w:r>
          </w:p>
          <w:p w14:paraId="6D48DBEF" w14:textId="77777777" w:rsidR="00F10E38" w:rsidRDefault="00F10E38" w:rsidP="00F10E38">
            <w:pPr>
              <w:spacing w:after="0" w:line="240" w:lineRule="auto"/>
              <w:rPr>
                <w:rFonts w:cs="Calibri"/>
                <w:b/>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7C77B0F0" w14:textId="77777777" w:rsidR="00672F3C" w:rsidRDefault="00672F3C" w:rsidP="00135A0D">
            <w:pPr>
              <w:spacing w:after="0" w:line="240" w:lineRule="auto"/>
              <w:rPr>
                <w:rFonts w:cs="Calibri"/>
                <w:b/>
              </w:rPr>
            </w:pPr>
          </w:p>
          <w:p w14:paraId="16CBE405" w14:textId="77777777" w:rsidR="00672F3C" w:rsidRDefault="00672F3C" w:rsidP="00135A0D">
            <w:pPr>
              <w:spacing w:after="0" w:line="240" w:lineRule="auto"/>
              <w:rPr>
                <w:rFonts w:cs="Calibri"/>
                <w:b/>
              </w:rPr>
            </w:pPr>
          </w:p>
          <w:p w14:paraId="26F75ED2" w14:textId="77777777" w:rsidR="00672F3C" w:rsidRDefault="00672F3C" w:rsidP="00135A0D">
            <w:pPr>
              <w:spacing w:after="0" w:line="240" w:lineRule="auto"/>
              <w:rPr>
                <w:rFonts w:cs="Calibri"/>
                <w:b/>
              </w:rPr>
            </w:pPr>
          </w:p>
          <w:p w14:paraId="7AFD714E" w14:textId="77777777" w:rsidR="00672F3C" w:rsidRDefault="00672F3C" w:rsidP="00135A0D">
            <w:pPr>
              <w:spacing w:after="0" w:line="240" w:lineRule="auto"/>
              <w:rPr>
                <w:rFonts w:cs="Calibri"/>
                <w:b/>
              </w:rPr>
            </w:pPr>
          </w:p>
          <w:p w14:paraId="67F0C76D" w14:textId="77777777" w:rsidR="00672F3C" w:rsidRDefault="00672F3C" w:rsidP="00135A0D">
            <w:pPr>
              <w:spacing w:after="0" w:line="240" w:lineRule="auto"/>
              <w:rPr>
                <w:rFonts w:cs="Calibri"/>
                <w:b/>
              </w:rPr>
            </w:pPr>
          </w:p>
          <w:p w14:paraId="0C90B7BA" w14:textId="77777777" w:rsidR="00672F3C" w:rsidRDefault="00672F3C" w:rsidP="00135A0D">
            <w:pPr>
              <w:spacing w:after="0" w:line="240" w:lineRule="auto"/>
              <w:rPr>
                <w:rFonts w:cs="Calibri"/>
                <w:b/>
              </w:rPr>
            </w:pPr>
          </w:p>
          <w:p w14:paraId="574D9BA8" w14:textId="77777777" w:rsidR="004C6E69" w:rsidRDefault="004C6E69" w:rsidP="00135A0D">
            <w:pPr>
              <w:spacing w:after="0" w:line="240" w:lineRule="auto"/>
              <w:rPr>
                <w:rFonts w:cs="Calibri"/>
                <w:b/>
              </w:rPr>
            </w:pPr>
          </w:p>
          <w:p w14:paraId="20ECA92D" w14:textId="77777777" w:rsidR="00672F3C" w:rsidRDefault="00672F3C" w:rsidP="00135A0D">
            <w:pPr>
              <w:spacing w:after="0" w:line="240" w:lineRule="auto"/>
              <w:rPr>
                <w:rFonts w:cs="Calibri"/>
                <w:b/>
              </w:rPr>
            </w:pPr>
          </w:p>
          <w:p w14:paraId="3222E476" w14:textId="7FA356C9" w:rsidR="00672F3C" w:rsidRDefault="00672F3C" w:rsidP="00135A0D">
            <w:pPr>
              <w:spacing w:after="0" w:line="240" w:lineRule="auto"/>
              <w:rPr>
                <w:rFonts w:cs="Calibri"/>
                <w:b/>
              </w:rPr>
            </w:pPr>
            <w:r>
              <w:rPr>
                <w:rFonts w:cs="Calibri"/>
                <w:b/>
              </w:rPr>
              <w:t xml:space="preserve">Executive Team / </w:t>
            </w:r>
          </w:p>
          <w:p w14:paraId="1F2A5C48" w14:textId="624E9273" w:rsidR="00F10E38" w:rsidRDefault="00672F3C" w:rsidP="00135A0D">
            <w:pPr>
              <w:spacing w:after="0" w:line="240" w:lineRule="auto"/>
              <w:rPr>
                <w:rFonts w:cs="Calibri"/>
                <w:b/>
              </w:rPr>
            </w:pPr>
            <w:r>
              <w:rPr>
                <w:rFonts w:cs="Calibri"/>
                <w:b/>
              </w:rPr>
              <w:t>Convener</w:t>
            </w:r>
          </w:p>
        </w:tc>
      </w:tr>
      <w:tr w:rsidR="00CA68BF" w:rsidRPr="000C0AF8" w14:paraId="502A537D" w14:textId="77777777" w:rsidTr="001D168B">
        <w:trPr>
          <w:gridAfter w:val="1"/>
          <w:wAfter w:w="283" w:type="dxa"/>
        </w:trPr>
        <w:tc>
          <w:tcPr>
            <w:tcW w:w="9742" w:type="dxa"/>
            <w:gridSpan w:val="6"/>
            <w:tcBorders>
              <w:top w:val="single" w:sz="4" w:space="0" w:color="auto"/>
              <w:left w:val="single" w:sz="4" w:space="0" w:color="auto"/>
              <w:bottom w:val="single" w:sz="4" w:space="0" w:color="auto"/>
              <w:right w:val="single" w:sz="4" w:space="0" w:color="auto"/>
            </w:tcBorders>
            <w:shd w:val="clear" w:color="auto" w:fill="F985F1"/>
          </w:tcPr>
          <w:p w14:paraId="557A4EB5" w14:textId="46A57804" w:rsidR="00CA68BF" w:rsidRPr="00EB4648" w:rsidRDefault="00CA68BF" w:rsidP="00FC1D77">
            <w:pPr>
              <w:spacing w:after="0" w:line="240" w:lineRule="auto"/>
              <w:rPr>
                <w:rFonts w:cs="Calibri"/>
                <w:b/>
              </w:rPr>
            </w:pPr>
            <w:r w:rsidRPr="00FC6376">
              <w:rPr>
                <w:rFonts w:cs="Calibri"/>
                <w:b/>
                <w:sz w:val="24"/>
              </w:rPr>
              <w:t>CASES UPDATE</w:t>
            </w:r>
          </w:p>
        </w:tc>
      </w:tr>
      <w:tr w:rsidR="00FC1D77" w:rsidRPr="000C0AF8" w14:paraId="53AECAFF" w14:textId="77777777" w:rsidTr="001D168B">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14:paraId="02D1C52B" w14:textId="77777777" w:rsidR="00FC1D77" w:rsidRPr="00434D5F" w:rsidRDefault="00434D5F" w:rsidP="006B6EB3">
            <w:pPr>
              <w:spacing w:after="0" w:line="240" w:lineRule="auto"/>
              <w:rPr>
                <w:rFonts w:cs="Calibri"/>
                <w:b/>
              </w:rPr>
            </w:pPr>
            <w:r>
              <w:rPr>
                <w:rFonts w:cs="Calibri"/>
                <w:b/>
              </w:rPr>
              <w:t>1</w:t>
            </w:r>
            <w:r w:rsidR="006B6EB3">
              <w:rPr>
                <w:rFonts w:cs="Calibri"/>
                <w:b/>
              </w:rPr>
              <w:t>4</w:t>
            </w:r>
            <w:r>
              <w:rPr>
                <w:rFonts w:cs="Calibri"/>
                <w:b/>
              </w:rPr>
              <w:t>.</w:t>
            </w:r>
          </w:p>
        </w:tc>
        <w:tc>
          <w:tcPr>
            <w:tcW w:w="7746" w:type="dxa"/>
            <w:gridSpan w:val="2"/>
            <w:tcBorders>
              <w:top w:val="single" w:sz="4" w:space="0" w:color="auto"/>
              <w:left w:val="single" w:sz="4" w:space="0" w:color="auto"/>
              <w:bottom w:val="single" w:sz="4" w:space="0" w:color="auto"/>
              <w:right w:val="single" w:sz="4" w:space="0" w:color="auto"/>
            </w:tcBorders>
            <w:shd w:val="clear" w:color="auto" w:fill="auto"/>
          </w:tcPr>
          <w:p w14:paraId="4485C588" w14:textId="77777777" w:rsidR="00FC1D77" w:rsidRPr="009E781D" w:rsidRDefault="00FC1D77" w:rsidP="00FC1D77">
            <w:pPr>
              <w:autoSpaceDE w:val="0"/>
              <w:autoSpaceDN w:val="0"/>
              <w:adjustRightInd w:val="0"/>
              <w:spacing w:after="0" w:line="240" w:lineRule="auto"/>
              <w:rPr>
                <w:rFonts w:cs="Calibri"/>
                <w:b/>
              </w:rPr>
            </w:pPr>
            <w:r w:rsidRPr="009E781D">
              <w:rPr>
                <w:rFonts w:cs="Calibri"/>
                <w:b/>
              </w:rPr>
              <w:t>NOTES OF DECISION/CASES NOT PURSUED &amp; SECTION 14 NOTIFICATION LETTERS</w:t>
            </w:r>
          </w:p>
          <w:p w14:paraId="5AF7D41D" w14:textId="0463AA2F" w:rsidR="000E17DC" w:rsidRDefault="00FC1D77" w:rsidP="00FC1D77">
            <w:pPr>
              <w:autoSpaceDE w:val="0"/>
              <w:autoSpaceDN w:val="0"/>
              <w:adjustRightInd w:val="0"/>
              <w:spacing w:after="0" w:line="240" w:lineRule="auto"/>
              <w:rPr>
                <w:rFonts w:cs="Calibri"/>
              </w:rPr>
            </w:pPr>
            <w:r w:rsidRPr="009E781D">
              <w:rPr>
                <w:rFonts w:cs="Calibri"/>
              </w:rPr>
              <w:t xml:space="preserve">Members </w:t>
            </w:r>
            <w:r w:rsidR="009A208C" w:rsidRPr="008435AD">
              <w:rPr>
                <w:rFonts w:cs="Calibri"/>
              </w:rPr>
              <w:t xml:space="preserve">reviewed </w:t>
            </w:r>
            <w:r w:rsidR="00945018" w:rsidRPr="008435AD">
              <w:rPr>
                <w:rFonts w:cs="Calibri"/>
              </w:rPr>
              <w:t>six</w:t>
            </w:r>
            <w:r w:rsidR="00444524" w:rsidRPr="008435AD">
              <w:rPr>
                <w:rFonts w:cs="Calibri"/>
              </w:rPr>
              <w:t xml:space="preserve"> </w:t>
            </w:r>
            <w:r w:rsidR="00754F3D" w:rsidRPr="008435AD">
              <w:rPr>
                <w:rFonts w:cs="Calibri"/>
              </w:rPr>
              <w:t>case</w:t>
            </w:r>
            <w:r w:rsidR="000C0AF8" w:rsidRPr="008435AD">
              <w:rPr>
                <w:rFonts w:cs="Calibri"/>
              </w:rPr>
              <w:t>s</w:t>
            </w:r>
            <w:r w:rsidR="009A208C" w:rsidRPr="009E781D">
              <w:rPr>
                <w:rFonts w:cs="Calibri"/>
              </w:rPr>
              <w:t xml:space="preserve"> p</w:t>
            </w:r>
            <w:r w:rsidR="00FC4D20" w:rsidRPr="009E781D">
              <w:rPr>
                <w:rFonts w:cs="Calibri"/>
              </w:rPr>
              <w:t xml:space="preserve">ublished by </w:t>
            </w:r>
            <w:r w:rsidR="004A333F" w:rsidRPr="009E781D">
              <w:rPr>
                <w:rFonts w:cs="Calibri"/>
              </w:rPr>
              <w:t xml:space="preserve">the </w:t>
            </w:r>
            <w:r w:rsidRPr="009E781D">
              <w:rPr>
                <w:rFonts w:cs="Calibri"/>
              </w:rPr>
              <w:t xml:space="preserve">CESPLS </w:t>
            </w:r>
            <w:r w:rsidR="00FC4D20" w:rsidRPr="009E781D">
              <w:rPr>
                <w:rFonts w:cs="Calibri"/>
              </w:rPr>
              <w:t>on his website following</w:t>
            </w:r>
            <w:r w:rsidRPr="009E781D">
              <w:rPr>
                <w:rFonts w:cs="Calibri"/>
              </w:rPr>
              <w:t xml:space="preserve"> completion of his investigation</w:t>
            </w:r>
            <w:r w:rsidR="00754F3D" w:rsidRPr="009E781D">
              <w:rPr>
                <w:rFonts w:cs="Calibri"/>
              </w:rPr>
              <w:t>.</w:t>
            </w:r>
          </w:p>
          <w:p w14:paraId="709147FB" w14:textId="77777777" w:rsidR="00FC1D77" w:rsidRPr="00F10E38" w:rsidRDefault="00FC1D77" w:rsidP="006358EC">
            <w:pPr>
              <w:autoSpaceDE w:val="0"/>
              <w:autoSpaceDN w:val="0"/>
              <w:adjustRightInd w:val="0"/>
              <w:spacing w:after="0" w:line="240" w:lineRule="auto"/>
              <w:rPr>
                <w:rFonts w:cs="Calibri"/>
                <w:highlight w:val="yellow"/>
              </w:rPr>
            </w:pPr>
          </w:p>
        </w:tc>
        <w:tc>
          <w:tcPr>
            <w:tcW w:w="1184" w:type="dxa"/>
            <w:gridSpan w:val="3"/>
            <w:tcBorders>
              <w:top w:val="single" w:sz="4" w:space="0" w:color="auto"/>
              <w:left w:val="single" w:sz="4" w:space="0" w:color="auto"/>
              <w:bottom w:val="single" w:sz="4" w:space="0" w:color="auto"/>
              <w:right w:val="single" w:sz="4" w:space="0" w:color="auto"/>
            </w:tcBorders>
            <w:shd w:val="clear" w:color="auto" w:fill="auto"/>
          </w:tcPr>
          <w:p w14:paraId="10835429" w14:textId="77777777" w:rsidR="00FC1D77" w:rsidRPr="000C0AF8" w:rsidRDefault="00FC1D77" w:rsidP="00FC1D77">
            <w:pPr>
              <w:spacing w:after="0" w:line="240" w:lineRule="auto"/>
              <w:rPr>
                <w:rFonts w:cs="Calibri"/>
              </w:rPr>
            </w:pPr>
          </w:p>
          <w:p w14:paraId="194052A2" w14:textId="77777777" w:rsidR="00FC1D77" w:rsidRPr="000C0AF8" w:rsidRDefault="00FC1D77" w:rsidP="00FC1D77">
            <w:pPr>
              <w:spacing w:after="0" w:line="240" w:lineRule="auto"/>
              <w:rPr>
                <w:rFonts w:cs="Calibri"/>
                <w:b/>
              </w:rPr>
            </w:pPr>
          </w:p>
        </w:tc>
      </w:tr>
      <w:tr w:rsidR="008C6FCD" w:rsidRPr="000C0AF8" w14:paraId="50499E99" w14:textId="1CBD2882" w:rsidTr="001D168B">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14:paraId="73AE70AD" w14:textId="31C4E7C5" w:rsidR="008C6FCD" w:rsidRPr="00FC6376" w:rsidRDefault="008C6FCD" w:rsidP="006B6EB3">
            <w:pPr>
              <w:spacing w:after="0" w:line="240" w:lineRule="auto"/>
              <w:rPr>
                <w:rFonts w:cs="Calibri"/>
                <w:b/>
              </w:rPr>
            </w:pPr>
            <w:r w:rsidRPr="00FC6376">
              <w:rPr>
                <w:rFonts w:cs="Calibri"/>
                <w:b/>
              </w:rPr>
              <w:lastRenderedPageBreak/>
              <w:t>1</w:t>
            </w:r>
            <w:r w:rsidR="006B6EB3" w:rsidRPr="00FC6376">
              <w:rPr>
                <w:rFonts w:cs="Calibri"/>
                <w:b/>
              </w:rPr>
              <w:t>5</w:t>
            </w:r>
            <w:r w:rsidRPr="00FC6376">
              <w:rPr>
                <w:rFonts w:cs="Calibri"/>
                <w:b/>
              </w:rPr>
              <w:t>.</w:t>
            </w:r>
          </w:p>
        </w:tc>
        <w:tc>
          <w:tcPr>
            <w:tcW w:w="7746" w:type="dxa"/>
            <w:gridSpan w:val="2"/>
            <w:tcBorders>
              <w:top w:val="single" w:sz="4" w:space="0" w:color="auto"/>
              <w:left w:val="single" w:sz="4" w:space="0" w:color="auto"/>
              <w:bottom w:val="single" w:sz="4" w:space="0" w:color="auto"/>
              <w:right w:val="single" w:sz="4" w:space="0" w:color="auto"/>
            </w:tcBorders>
            <w:shd w:val="clear" w:color="auto" w:fill="auto"/>
          </w:tcPr>
          <w:p w14:paraId="0625871A" w14:textId="26E08FBD" w:rsidR="008C6FCD" w:rsidRPr="00FC6376" w:rsidRDefault="008C6FCD" w:rsidP="00FC1D77">
            <w:pPr>
              <w:autoSpaceDE w:val="0"/>
              <w:autoSpaceDN w:val="0"/>
              <w:adjustRightInd w:val="0"/>
              <w:spacing w:after="0" w:line="240" w:lineRule="auto"/>
              <w:rPr>
                <w:rFonts w:cs="Calibri"/>
                <w:b/>
              </w:rPr>
            </w:pPr>
            <w:r w:rsidRPr="00FC6376">
              <w:rPr>
                <w:rFonts w:cs="Calibri"/>
                <w:b/>
              </w:rPr>
              <w:t>BREACH REPORTS</w:t>
            </w:r>
            <w:r w:rsidR="009E781D" w:rsidRPr="00FC6376">
              <w:rPr>
                <w:rFonts w:cs="Calibri"/>
                <w:b/>
              </w:rPr>
              <w:t xml:space="preserve"> AND HEARINGS UPDATE</w:t>
            </w:r>
          </w:p>
          <w:p w14:paraId="17DBE29B" w14:textId="2A6E0AA6" w:rsidR="008C6FCD" w:rsidRPr="00FC6376" w:rsidRDefault="008C6FCD" w:rsidP="00FC6376">
            <w:pPr>
              <w:pStyle w:val="NoSpacing"/>
              <w:rPr>
                <w:b/>
              </w:rPr>
            </w:pPr>
            <w:r w:rsidRPr="00FC6376">
              <w:rPr>
                <w:b/>
              </w:rPr>
              <w:t xml:space="preserve">NB/SFRS/1919: </w:t>
            </w:r>
            <w:r w:rsidRPr="00FC6376">
              <w:t xml:space="preserve">Mr Neil Pirie formerly of the Scottish </w:t>
            </w:r>
            <w:r w:rsidR="009E781D" w:rsidRPr="00FC6376">
              <w:t xml:space="preserve">Fire &amp; Rescue Service. Members noted </w:t>
            </w:r>
            <w:r w:rsidR="00FA5276" w:rsidRPr="00FC6376">
              <w:t xml:space="preserve">a pre-Hearing meeting had been held on 31 January 2017 and </w:t>
            </w:r>
            <w:r w:rsidR="009E781D" w:rsidRPr="00FC6376">
              <w:t>the</w:t>
            </w:r>
            <w:r w:rsidR="006655E1" w:rsidRPr="00FC6376">
              <w:t xml:space="preserve"> Hearing</w:t>
            </w:r>
            <w:r w:rsidR="009E781D" w:rsidRPr="00FC6376">
              <w:t xml:space="preserve"> </w:t>
            </w:r>
            <w:r w:rsidR="00FA5276" w:rsidRPr="00FC6376">
              <w:t>was</w:t>
            </w:r>
            <w:r w:rsidR="009E781D" w:rsidRPr="00FC6376">
              <w:t xml:space="preserve"> scheduled to take place on 1 March 2017</w:t>
            </w:r>
            <w:r w:rsidR="006655E1" w:rsidRPr="00FC6376">
              <w:t>.</w:t>
            </w:r>
          </w:p>
          <w:p w14:paraId="25FA4D14" w14:textId="77777777" w:rsidR="00FC6376" w:rsidRPr="00FC6376" w:rsidRDefault="00FC6376" w:rsidP="00FC6376">
            <w:pPr>
              <w:pStyle w:val="NoSpacing"/>
              <w:rPr>
                <w:b/>
              </w:rPr>
            </w:pPr>
          </w:p>
          <w:p w14:paraId="6886D8C1" w14:textId="2D0491C0" w:rsidR="009E781D" w:rsidRPr="00FC6376" w:rsidRDefault="009E781D" w:rsidP="00FC6376">
            <w:pPr>
              <w:pStyle w:val="NoSpacing"/>
              <w:rPr>
                <w:b/>
              </w:rPr>
            </w:pPr>
            <w:r w:rsidRPr="00FC6376">
              <w:rPr>
                <w:b/>
              </w:rPr>
              <w:t xml:space="preserve">LA/PK/1948: </w:t>
            </w:r>
            <w:r w:rsidRPr="00FC6376">
              <w:t>Councillo</w:t>
            </w:r>
            <w:r w:rsidR="007A6EC6" w:rsidRPr="00FC6376">
              <w:t>r</w:t>
            </w:r>
            <w:r w:rsidRPr="00FC6376">
              <w:t xml:space="preserve"> Kathleen Howie of Perth &amp; Kinross Council</w:t>
            </w:r>
            <w:r w:rsidR="007A6EC6" w:rsidRPr="00FC6376">
              <w:t xml:space="preserve">.  Members </w:t>
            </w:r>
            <w:r w:rsidR="00FA5276" w:rsidRPr="00FC6376">
              <w:t>noted the</w:t>
            </w:r>
            <w:r w:rsidR="005B1A04" w:rsidRPr="00FC6376">
              <w:t xml:space="preserve"> CESPLS </w:t>
            </w:r>
            <w:r w:rsidR="00FA5276" w:rsidRPr="00FC6376">
              <w:t>had withdrawn his report</w:t>
            </w:r>
            <w:r w:rsidR="00F11378" w:rsidRPr="00FC6376">
              <w:t xml:space="preserve"> as he had realised it contained a material error.  Members noted that the Standards Commission had decided, in the particular circumstances of the case, not to proceed with the Hearing.  A notice to that effect had been put on the website and the parties and local press had been notified. </w:t>
            </w:r>
          </w:p>
          <w:p w14:paraId="18366033" w14:textId="23584386" w:rsidR="007A6EC6" w:rsidRPr="00FC6376" w:rsidRDefault="007A6EC6" w:rsidP="00FC6376">
            <w:pPr>
              <w:pStyle w:val="NoSpacing"/>
              <w:rPr>
                <w:rFonts w:cs="Calibri"/>
                <w:b/>
              </w:rPr>
            </w:pPr>
          </w:p>
          <w:p w14:paraId="79153035" w14:textId="06F4CE92" w:rsidR="00090976" w:rsidRPr="00FC6376" w:rsidRDefault="00FA5276" w:rsidP="00FC6376">
            <w:pPr>
              <w:pStyle w:val="NoSpacing"/>
              <w:rPr>
                <w:b/>
              </w:rPr>
            </w:pPr>
            <w:r w:rsidRPr="00FC6376">
              <w:rPr>
                <w:b/>
              </w:rPr>
              <w:t>c</w:t>
            </w:r>
            <w:r w:rsidR="00090976" w:rsidRPr="00FC6376">
              <w:rPr>
                <w:b/>
              </w:rPr>
              <w:t xml:space="preserve">) </w:t>
            </w:r>
            <w:r w:rsidR="009E781D" w:rsidRPr="00FC6376">
              <w:rPr>
                <w:b/>
              </w:rPr>
              <w:t xml:space="preserve">LA/NL/1940:  </w:t>
            </w:r>
            <w:r w:rsidR="009E781D" w:rsidRPr="00FC6376">
              <w:t>Councillor R</w:t>
            </w:r>
            <w:r w:rsidR="007A6EC6" w:rsidRPr="00FC6376">
              <w:t>o</w:t>
            </w:r>
            <w:r w:rsidR="009E781D" w:rsidRPr="00FC6376">
              <w:t>sa Zambonini of North Lanarkshire Council</w:t>
            </w:r>
            <w:r w:rsidR="007A6EC6" w:rsidRPr="00FC6376">
              <w:t xml:space="preserve">.  Members </w:t>
            </w:r>
            <w:r w:rsidR="00F11378" w:rsidRPr="00FC6376">
              <w:t>noted the Hearing had been scheduled to take place on 6 April 2017.  Members noted that the Respondent’s representative had submitted a response advising that the Respondent admitted a breach of the Councillors’ Code of Conduct and requesting that the Hearing be held in private.  The Hearing Panel agreed that given a breach was admitted, there was no need to hold the part of the Hearing relating to that decision in private.  However, it agreed that should a breach be determined, the mitigation part of the hearing would be held in private.</w:t>
            </w:r>
          </w:p>
          <w:p w14:paraId="3950A525" w14:textId="77777777" w:rsidR="00FC6376" w:rsidRPr="00FC6376" w:rsidRDefault="00FC6376" w:rsidP="00FC6376">
            <w:pPr>
              <w:pStyle w:val="NoSpacing"/>
              <w:rPr>
                <w:b/>
              </w:rPr>
            </w:pPr>
          </w:p>
          <w:p w14:paraId="082377F6" w14:textId="161C1543" w:rsidR="008A0044" w:rsidRPr="00FC6376" w:rsidRDefault="00FA5276" w:rsidP="00FC6376">
            <w:pPr>
              <w:pStyle w:val="NoSpacing"/>
            </w:pPr>
            <w:r w:rsidRPr="00FC6376">
              <w:rPr>
                <w:b/>
              </w:rPr>
              <w:t xml:space="preserve">d) </w:t>
            </w:r>
            <w:r w:rsidR="008A0044" w:rsidRPr="00FC6376">
              <w:rPr>
                <w:b/>
              </w:rPr>
              <w:t>LA/E/1737 &amp; 1751:</w:t>
            </w:r>
            <w:r w:rsidR="008A0044" w:rsidRPr="00FC6376">
              <w:t xml:space="preserve"> Councillors Jeremy Balfour and Cameron Rose of Edinburgh City Council.  Members reviewed the report from the CESPLS along with the Standards Commission’s Section 16 Policy.  Members noted that the complaint</w:t>
            </w:r>
            <w:r w:rsidR="000F5997" w:rsidRPr="00FC6376">
              <w:t>s</w:t>
            </w:r>
            <w:r w:rsidR="008A0044" w:rsidRPr="00FC6376">
              <w:t xml:space="preserve"> concerned </w:t>
            </w:r>
            <w:r w:rsidR="000F5997" w:rsidRPr="00FC6376">
              <w:t>alleged breaches of provision in the Councillors’ Code of Conduct that required councillors to treat officers with respect</w:t>
            </w:r>
            <w:r w:rsidR="008A0044" w:rsidRPr="00FC6376">
              <w:t xml:space="preserve">.  Members considered </w:t>
            </w:r>
            <w:r w:rsidR="000F5997" w:rsidRPr="00FC6376">
              <w:t>a key aim of the Councillors’ Code of Conduct was to ensure there was mutual trust and respect in relationships between councillors and officers</w:t>
            </w:r>
            <w:r w:rsidR="00BA3D3E" w:rsidRPr="00FC6376">
              <w:t xml:space="preserve"> to </w:t>
            </w:r>
            <w:r w:rsidR="000F5997" w:rsidRPr="00FC6376">
              <w:t xml:space="preserve">enable councils to function effectively and </w:t>
            </w:r>
            <w:r w:rsidR="00BA3D3E" w:rsidRPr="00FC6376">
              <w:t>to help</w:t>
            </w:r>
            <w:r w:rsidR="000F5997" w:rsidRPr="00FC6376">
              <w:t xml:space="preserve"> maintain public confidence in local government. </w:t>
            </w:r>
            <w:r w:rsidR="008A0044" w:rsidRPr="00FC6376">
              <w:t xml:space="preserve">Members determined that, in order to ensure provisions of the Code were </w:t>
            </w:r>
            <w:proofErr w:type="gramStart"/>
            <w:r w:rsidR="008A0044" w:rsidRPr="00FC6376">
              <w:t>promoted,</w:t>
            </w:r>
            <w:proofErr w:type="gramEnd"/>
            <w:r w:rsidR="008A0044" w:rsidRPr="00FC6376">
              <w:t xml:space="preserve"> it was in the public interest and proportionate to hold a Hearing.</w:t>
            </w:r>
          </w:p>
          <w:p w14:paraId="65DC6052" w14:textId="77777777" w:rsidR="00FC6376" w:rsidRPr="00FC6376" w:rsidRDefault="00FC6376" w:rsidP="00FC6376">
            <w:pPr>
              <w:pStyle w:val="NoSpacing"/>
            </w:pPr>
          </w:p>
          <w:p w14:paraId="7D52E6BB" w14:textId="77777777" w:rsidR="008435AD" w:rsidRDefault="00BA3D3E" w:rsidP="00FC6376">
            <w:pPr>
              <w:pStyle w:val="NoSpacing"/>
            </w:pPr>
            <w:r w:rsidRPr="00FC6376">
              <w:rPr>
                <w:b/>
              </w:rPr>
              <w:t xml:space="preserve">e) </w:t>
            </w:r>
            <w:r w:rsidR="008A0044" w:rsidRPr="00FC6376">
              <w:rPr>
                <w:b/>
              </w:rPr>
              <w:t xml:space="preserve">LA/WL/1824:  </w:t>
            </w:r>
            <w:r w:rsidR="008A0044" w:rsidRPr="00FC6376">
              <w:t xml:space="preserve">Councillor Angela </w:t>
            </w:r>
            <w:proofErr w:type="spellStart"/>
            <w:r w:rsidR="008A0044" w:rsidRPr="00FC6376">
              <w:t>Moohan</w:t>
            </w:r>
            <w:proofErr w:type="spellEnd"/>
            <w:r w:rsidR="008A0044" w:rsidRPr="00FC6376">
              <w:t xml:space="preserve"> of West Lothian Council.  Members reviewed the report from the CESPLS along with the Standards Commission’s Section 16 Policy.  Members noted that the complaint c</w:t>
            </w:r>
            <w:r w:rsidR="00916A7E" w:rsidRPr="00FC6376">
              <w:t xml:space="preserve">oncerned a failure to comply with the provisions in the Councillors’ Code of Conduct in relation to the registration and declaration of interests. </w:t>
            </w:r>
            <w:r w:rsidR="008A0044" w:rsidRPr="00FC6376">
              <w:t>Members considered the</w:t>
            </w:r>
            <w:r w:rsidR="00916A7E" w:rsidRPr="00FC6376">
              <w:t>se provisions were</w:t>
            </w:r>
            <w:r w:rsidR="008A0044" w:rsidRPr="00FC6376">
              <w:t xml:space="preserve"> a fundamental requirement of the Councillors’ Code of Conduct as it ensured transparency in the decision-making process.  Members determined that, in order to ensure provisions of the Code were </w:t>
            </w:r>
            <w:proofErr w:type="gramStart"/>
            <w:r w:rsidR="008A0044" w:rsidRPr="00FC6376">
              <w:t>promoted,</w:t>
            </w:r>
            <w:proofErr w:type="gramEnd"/>
            <w:r w:rsidR="008A0044" w:rsidRPr="00FC6376">
              <w:t xml:space="preserve"> it was in the public interest and proportionate to hold a Hearing.</w:t>
            </w:r>
          </w:p>
          <w:p w14:paraId="3CE75D7C" w14:textId="7D7E389C" w:rsidR="00FC6376" w:rsidRPr="00FC6376" w:rsidRDefault="00FC6376" w:rsidP="00FC6376">
            <w:pPr>
              <w:pStyle w:val="NoSpacing"/>
              <w:rPr>
                <w:b/>
              </w:rPr>
            </w:pPr>
          </w:p>
        </w:tc>
        <w:tc>
          <w:tcPr>
            <w:tcW w:w="1184" w:type="dxa"/>
            <w:gridSpan w:val="3"/>
            <w:tcBorders>
              <w:top w:val="single" w:sz="4" w:space="0" w:color="auto"/>
              <w:left w:val="single" w:sz="4" w:space="0" w:color="auto"/>
              <w:bottom w:val="single" w:sz="4" w:space="0" w:color="auto"/>
              <w:right w:val="single" w:sz="4" w:space="0" w:color="auto"/>
            </w:tcBorders>
            <w:shd w:val="clear" w:color="auto" w:fill="auto"/>
          </w:tcPr>
          <w:p w14:paraId="12FA3E2F" w14:textId="23CD73B6" w:rsidR="008C6FCD" w:rsidRPr="00FC6376" w:rsidRDefault="008C6FCD" w:rsidP="00FC1D77">
            <w:pPr>
              <w:spacing w:after="0" w:line="240" w:lineRule="auto"/>
              <w:rPr>
                <w:rFonts w:cs="Calibri"/>
              </w:rPr>
            </w:pPr>
          </w:p>
          <w:p w14:paraId="4804C3EB" w14:textId="0272EF40" w:rsidR="005B1A04" w:rsidRPr="00FC6376" w:rsidRDefault="005B1A04" w:rsidP="00FC1D77">
            <w:pPr>
              <w:spacing w:after="0" w:line="240" w:lineRule="auto"/>
              <w:rPr>
                <w:rFonts w:cs="Calibri"/>
                <w:b/>
              </w:rPr>
            </w:pPr>
          </w:p>
          <w:p w14:paraId="79DCFC10" w14:textId="0E512D04" w:rsidR="005B1A04" w:rsidRPr="00FC6376" w:rsidRDefault="005B1A04" w:rsidP="00FC1D77">
            <w:pPr>
              <w:spacing w:after="0" w:line="240" w:lineRule="auto"/>
              <w:rPr>
                <w:rFonts w:cs="Calibri"/>
                <w:b/>
              </w:rPr>
            </w:pPr>
          </w:p>
          <w:p w14:paraId="10E45A60" w14:textId="5B389FDC" w:rsidR="007A6EC6" w:rsidRPr="00FC6376" w:rsidRDefault="007A6EC6" w:rsidP="00FC1D77">
            <w:pPr>
              <w:spacing w:after="0" w:line="240" w:lineRule="auto"/>
              <w:rPr>
                <w:rFonts w:cs="Calibri"/>
                <w:b/>
              </w:rPr>
            </w:pPr>
          </w:p>
          <w:p w14:paraId="236BDA43" w14:textId="2659AE9D" w:rsidR="007A6EC6" w:rsidRPr="00FC6376" w:rsidRDefault="007A6EC6" w:rsidP="00FC1D77">
            <w:pPr>
              <w:spacing w:after="0" w:line="240" w:lineRule="auto"/>
              <w:rPr>
                <w:rFonts w:cs="Calibri"/>
                <w:b/>
              </w:rPr>
            </w:pPr>
          </w:p>
          <w:p w14:paraId="7BA0F774" w14:textId="598C81E5" w:rsidR="007A6EC6" w:rsidRPr="00FC6376" w:rsidRDefault="007A6EC6" w:rsidP="00FC1D77">
            <w:pPr>
              <w:spacing w:after="0" w:line="240" w:lineRule="auto"/>
              <w:rPr>
                <w:rFonts w:cs="Calibri"/>
                <w:b/>
              </w:rPr>
            </w:pPr>
          </w:p>
          <w:p w14:paraId="69422967" w14:textId="7E600541" w:rsidR="007A6EC6" w:rsidRPr="00FC6376" w:rsidRDefault="007A6EC6" w:rsidP="00FC1D77">
            <w:pPr>
              <w:spacing w:after="0" w:line="240" w:lineRule="auto"/>
              <w:rPr>
                <w:rFonts w:cs="Calibri"/>
                <w:b/>
              </w:rPr>
            </w:pPr>
          </w:p>
          <w:p w14:paraId="2A3B55D2" w14:textId="44B6915D" w:rsidR="007A6EC6" w:rsidRPr="00FC6376" w:rsidRDefault="007A6EC6" w:rsidP="00FC1D77">
            <w:pPr>
              <w:spacing w:after="0" w:line="240" w:lineRule="auto"/>
              <w:rPr>
                <w:rFonts w:cs="Calibri"/>
                <w:b/>
              </w:rPr>
            </w:pPr>
          </w:p>
          <w:p w14:paraId="4158275D" w14:textId="2AF37547" w:rsidR="007A6EC6" w:rsidRPr="00FC6376" w:rsidRDefault="007A6EC6" w:rsidP="00FC1D77">
            <w:pPr>
              <w:spacing w:after="0" w:line="240" w:lineRule="auto"/>
              <w:rPr>
                <w:rFonts w:cs="Calibri"/>
                <w:b/>
              </w:rPr>
            </w:pPr>
          </w:p>
          <w:p w14:paraId="395440FB" w14:textId="25120CBE" w:rsidR="007D32E2" w:rsidRPr="00FC6376" w:rsidRDefault="007D32E2" w:rsidP="007A6EC6">
            <w:pPr>
              <w:spacing w:after="0" w:line="240" w:lineRule="auto"/>
              <w:rPr>
                <w:rFonts w:cs="Calibri"/>
                <w:b/>
              </w:rPr>
            </w:pPr>
          </w:p>
          <w:p w14:paraId="704DA5F0" w14:textId="4A29F523" w:rsidR="00126ABD" w:rsidRPr="00FC6376" w:rsidRDefault="00126ABD" w:rsidP="007A6EC6">
            <w:pPr>
              <w:spacing w:after="0" w:line="240" w:lineRule="auto"/>
              <w:rPr>
                <w:rFonts w:cs="Calibri"/>
                <w:b/>
              </w:rPr>
            </w:pPr>
          </w:p>
          <w:p w14:paraId="6DE3D056" w14:textId="46AE2F5C" w:rsidR="00090976" w:rsidRPr="00FC6376" w:rsidRDefault="00090976" w:rsidP="007A6EC6">
            <w:pPr>
              <w:spacing w:after="0" w:line="240" w:lineRule="auto"/>
              <w:rPr>
                <w:rFonts w:cs="Calibri"/>
                <w:b/>
              </w:rPr>
            </w:pPr>
          </w:p>
          <w:p w14:paraId="57BC5FAA" w14:textId="235BA8A0" w:rsidR="00090976" w:rsidRPr="00FC6376" w:rsidRDefault="00090976" w:rsidP="007A6EC6">
            <w:pPr>
              <w:spacing w:after="0" w:line="240" w:lineRule="auto"/>
              <w:rPr>
                <w:rFonts w:cs="Calibri"/>
                <w:b/>
              </w:rPr>
            </w:pPr>
          </w:p>
          <w:p w14:paraId="70AED04D" w14:textId="0E60D18D" w:rsidR="00090976" w:rsidRPr="00FC6376" w:rsidRDefault="00090976" w:rsidP="007A6EC6">
            <w:pPr>
              <w:spacing w:after="0" w:line="240" w:lineRule="auto"/>
              <w:rPr>
                <w:rFonts w:cs="Calibri"/>
                <w:b/>
              </w:rPr>
            </w:pPr>
          </w:p>
          <w:p w14:paraId="7D7A081D" w14:textId="3353D661" w:rsidR="00090976" w:rsidRPr="00FC6376" w:rsidRDefault="00090976" w:rsidP="007A6EC6">
            <w:pPr>
              <w:spacing w:after="0" w:line="240" w:lineRule="auto"/>
              <w:rPr>
                <w:rFonts w:cs="Calibri"/>
                <w:b/>
              </w:rPr>
            </w:pPr>
          </w:p>
          <w:p w14:paraId="4D964156" w14:textId="32541E02" w:rsidR="00090976" w:rsidRPr="00FC6376" w:rsidRDefault="00090976" w:rsidP="007A6EC6">
            <w:pPr>
              <w:spacing w:after="0" w:line="240" w:lineRule="auto"/>
              <w:rPr>
                <w:rFonts w:cs="Calibri"/>
                <w:b/>
              </w:rPr>
            </w:pPr>
          </w:p>
          <w:p w14:paraId="18556360" w14:textId="600FF33D" w:rsidR="00090976" w:rsidRPr="00FC6376" w:rsidRDefault="00090976" w:rsidP="007A6EC6">
            <w:pPr>
              <w:spacing w:after="0" w:line="240" w:lineRule="auto"/>
              <w:rPr>
                <w:rFonts w:cs="Calibri"/>
                <w:b/>
              </w:rPr>
            </w:pPr>
          </w:p>
          <w:p w14:paraId="5F7A4D73" w14:textId="5EF3540F" w:rsidR="008435AD" w:rsidRPr="00FC6376" w:rsidRDefault="008435AD" w:rsidP="007A6EC6">
            <w:pPr>
              <w:spacing w:after="0" w:line="240" w:lineRule="auto"/>
              <w:rPr>
                <w:rFonts w:cs="Calibri"/>
                <w:b/>
              </w:rPr>
            </w:pPr>
          </w:p>
          <w:p w14:paraId="15F1F073" w14:textId="37ECA8AE" w:rsidR="00916A7E" w:rsidRPr="00FC6376" w:rsidRDefault="00916A7E" w:rsidP="007A6EC6">
            <w:pPr>
              <w:spacing w:after="0" w:line="240" w:lineRule="auto"/>
              <w:rPr>
                <w:rFonts w:cs="Calibri"/>
                <w:b/>
              </w:rPr>
            </w:pPr>
          </w:p>
          <w:p w14:paraId="181E102E" w14:textId="15EFA44B" w:rsidR="00916A7E" w:rsidRPr="00FC6376" w:rsidRDefault="00916A7E" w:rsidP="007A6EC6">
            <w:pPr>
              <w:spacing w:after="0" w:line="240" w:lineRule="auto"/>
            </w:pPr>
          </w:p>
          <w:p w14:paraId="545F6F4E" w14:textId="257E9BF4" w:rsidR="00916A7E" w:rsidRPr="00FC6376" w:rsidRDefault="00916A7E" w:rsidP="007A6EC6">
            <w:pPr>
              <w:spacing w:after="0" w:line="240" w:lineRule="auto"/>
            </w:pPr>
          </w:p>
          <w:p w14:paraId="6C3DDED2" w14:textId="053196CB" w:rsidR="00916A7E" w:rsidRPr="00FC6376" w:rsidRDefault="00916A7E" w:rsidP="007A6EC6">
            <w:pPr>
              <w:spacing w:after="0" w:line="240" w:lineRule="auto"/>
            </w:pPr>
          </w:p>
          <w:p w14:paraId="1C9A162D" w14:textId="5A72913B" w:rsidR="00916A7E" w:rsidRPr="00FC6376" w:rsidRDefault="00916A7E" w:rsidP="007A6EC6">
            <w:pPr>
              <w:spacing w:after="0" w:line="240" w:lineRule="auto"/>
            </w:pPr>
          </w:p>
          <w:p w14:paraId="5E5187CD" w14:textId="783A7A11" w:rsidR="00916A7E" w:rsidRPr="00FC6376" w:rsidRDefault="00916A7E" w:rsidP="007A6EC6">
            <w:pPr>
              <w:spacing w:after="0" w:line="240" w:lineRule="auto"/>
            </w:pPr>
          </w:p>
          <w:p w14:paraId="267DE57B" w14:textId="3FFA5431" w:rsidR="00916A7E" w:rsidRPr="00FC6376" w:rsidRDefault="00916A7E" w:rsidP="007A6EC6">
            <w:pPr>
              <w:spacing w:after="0" w:line="240" w:lineRule="auto"/>
            </w:pPr>
          </w:p>
          <w:p w14:paraId="270B746D" w14:textId="77777777" w:rsidR="00FC6376" w:rsidRPr="00FC6376" w:rsidRDefault="00FC6376" w:rsidP="007A6EC6">
            <w:pPr>
              <w:spacing w:after="0" w:line="240" w:lineRule="auto"/>
              <w:rPr>
                <w:rFonts w:cs="Calibri"/>
                <w:b/>
              </w:rPr>
            </w:pPr>
          </w:p>
          <w:p w14:paraId="527E3F27" w14:textId="407FAE6A" w:rsidR="00126ABD" w:rsidRPr="006655E1" w:rsidRDefault="00126ABD" w:rsidP="007A6EC6">
            <w:pPr>
              <w:spacing w:after="0" w:line="240" w:lineRule="auto"/>
              <w:rPr>
                <w:rFonts w:cs="Calibri"/>
                <w:b/>
              </w:rPr>
            </w:pPr>
          </w:p>
        </w:tc>
      </w:tr>
      <w:tr w:rsidR="00FC1D77" w:rsidRPr="000C0AF8" w14:paraId="3CC2D698" w14:textId="703C0EA9" w:rsidTr="001D168B">
        <w:trPr>
          <w:gridAfter w:val="1"/>
          <w:wAfter w:w="283" w:type="dxa"/>
        </w:trPr>
        <w:tc>
          <w:tcPr>
            <w:tcW w:w="9742" w:type="dxa"/>
            <w:gridSpan w:val="6"/>
            <w:tcBorders>
              <w:top w:val="single" w:sz="4" w:space="0" w:color="auto"/>
              <w:left w:val="single" w:sz="4" w:space="0" w:color="auto"/>
              <w:bottom w:val="single" w:sz="4" w:space="0" w:color="auto"/>
              <w:right w:val="single" w:sz="4" w:space="0" w:color="auto"/>
            </w:tcBorders>
            <w:shd w:val="clear" w:color="auto" w:fill="F985F1"/>
          </w:tcPr>
          <w:p w14:paraId="5A85094E" w14:textId="4C3033B2" w:rsidR="00FC1D77" w:rsidRPr="007320EB" w:rsidRDefault="00FC1D77" w:rsidP="00FC1D77">
            <w:pPr>
              <w:spacing w:after="0" w:line="240" w:lineRule="auto"/>
              <w:rPr>
                <w:rFonts w:cs="Calibri"/>
                <w:b/>
              </w:rPr>
            </w:pPr>
            <w:r w:rsidRPr="007320EB">
              <w:rPr>
                <w:rFonts w:cs="Calibri"/>
                <w:b/>
              </w:rPr>
              <w:t>AOB</w:t>
            </w:r>
          </w:p>
        </w:tc>
      </w:tr>
      <w:tr w:rsidR="00FC1D77" w:rsidRPr="00C677CD" w14:paraId="71F82933" w14:textId="49C60F73" w:rsidTr="001D1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812" w:type="dxa"/>
            <w:shd w:val="clear" w:color="auto" w:fill="auto"/>
          </w:tcPr>
          <w:p w14:paraId="19AF5638" w14:textId="1BCD6E56" w:rsidR="00FC1D77" w:rsidRPr="006358EC" w:rsidRDefault="00444524" w:rsidP="00FA5276">
            <w:pPr>
              <w:spacing w:after="0" w:line="240" w:lineRule="auto"/>
              <w:rPr>
                <w:rFonts w:cs="Calibri"/>
                <w:b/>
              </w:rPr>
            </w:pPr>
            <w:r>
              <w:rPr>
                <w:rFonts w:cs="Calibri"/>
                <w:b/>
              </w:rPr>
              <w:t>1</w:t>
            </w:r>
            <w:r w:rsidR="00FA5276">
              <w:rPr>
                <w:rFonts w:cs="Calibri"/>
                <w:b/>
              </w:rPr>
              <w:t>6</w:t>
            </w:r>
            <w:r w:rsidR="006358EC">
              <w:rPr>
                <w:rFonts w:cs="Calibri"/>
                <w:b/>
              </w:rPr>
              <w:t>.</w:t>
            </w:r>
          </w:p>
        </w:tc>
        <w:tc>
          <w:tcPr>
            <w:tcW w:w="7746" w:type="dxa"/>
            <w:gridSpan w:val="2"/>
            <w:shd w:val="clear" w:color="auto" w:fill="auto"/>
          </w:tcPr>
          <w:p w14:paraId="768B6361" w14:textId="238DE2C7" w:rsidR="00FC1D77" w:rsidRPr="007320EB" w:rsidRDefault="00FC1D77" w:rsidP="00FC1D77">
            <w:pPr>
              <w:spacing w:after="0" w:line="240" w:lineRule="auto"/>
              <w:rPr>
                <w:rFonts w:cs="Calibri"/>
              </w:rPr>
            </w:pPr>
            <w:r w:rsidRPr="007320EB">
              <w:rPr>
                <w:rFonts w:cs="Calibri"/>
                <w:b/>
              </w:rPr>
              <w:t>201</w:t>
            </w:r>
            <w:r w:rsidR="002220D2">
              <w:rPr>
                <w:rFonts w:cs="Calibri"/>
                <w:b/>
              </w:rPr>
              <w:t>6</w:t>
            </w:r>
            <w:r w:rsidRPr="007320EB">
              <w:rPr>
                <w:rFonts w:cs="Calibri"/>
                <w:b/>
              </w:rPr>
              <w:t>/1</w:t>
            </w:r>
            <w:r w:rsidR="002220D2">
              <w:rPr>
                <w:rFonts w:cs="Calibri"/>
                <w:b/>
              </w:rPr>
              <w:t>7</w:t>
            </w:r>
            <w:r w:rsidR="00141B35" w:rsidRPr="007320EB">
              <w:rPr>
                <w:rFonts w:cs="Calibri"/>
                <w:b/>
              </w:rPr>
              <w:t xml:space="preserve"> &amp; 201</w:t>
            </w:r>
            <w:r w:rsidR="002220D2">
              <w:rPr>
                <w:rFonts w:cs="Calibri"/>
                <w:b/>
              </w:rPr>
              <w:t>7</w:t>
            </w:r>
            <w:r w:rsidR="00141B35" w:rsidRPr="007320EB">
              <w:rPr>
                <w:rFonts w:cs="Calibri"/>
                <w:b/>
              </w:rPr>
              <w:t>/1</w:t>
            </w:r>
            <w:r w:rsidR="002220D2">
              <w:rPr>
                <w:rFonts w:cs="Calibri"/>
                <w:b/>
              </w:rPr>
              <w:t>8</w:t>
            </w:r>
            <w:r w:rsidR="00141B35" w:rsidRPr="007320EB">
              <w:rPr>
                <w:rFonts w:cs="Calibri"/>
                <w:b/>
              </w:rPr>
              <w:t xml:space="preserve"> DIARY DATES/</w:t>
            </w:r>
            <w:r w:rsidRPr="007320EB">
              <w:rPr>
                <w:rFonts w:cs="Calibri"/>
                <w:b/>
              </w:rPr>
              <w:t>MEETING</w:t>
            </w:r>
            <w:r w:rsidR="00B313A7" w:rsidRPr="007320EB">
              <w:rPr>
                <w:rFonts w:cs="Calibri"/>
                <w:b/>
              </w:rPr>
              <w:t>S</w:t>
            </w:r>
            <w:r w:rsidR="00141B35" w:rsidRPr="007320EB">
              <w:rPr>
                <w:rFonts w:cs="Calibri"/>
                <w:b/>
              </w:rPr>
              <w:t xml:space="preserve"> </w:t>
            </w:r>
          </w:p>
          <w:p w14:paraId="5C70738D" w14:textId="09E782C8" w:rsidR="00382572" w:rsidRPr="007320EB" w:rsidRDefault="009A208C" w:rsidP="00FC1D77">
            <w:pPr>
              <w:spacing w:after="0" w:line="240" w:lineRule="auto"/>
              <w:rPr>
                <w:rFonts w:cs="Calibri"/>
              </w:rPr>
            </w:pPr>
            <w:r w:rsidRPr="007320EB">
              <w:rPr>
                <w:rFonts w:cs="Calibri"/>
              </w:rPr>
              <w:t xml:space="preserve">Members </w:t>
            </w:r>
            <w:r w:rsidR="00B313A7" w:rsidRPr="007320EB">
              <w:rPr>
                <w:rFonts w:cs="Calibri"/>
              </w:rPr>
              <w:t>reviewed t</w:t>
            </w:r>
            <w:r w:rsidRPr="007320EB">
              <w:rPr>
                <w:rFonts w:cs="Calibri"/>
              </w:rPr>
              <w:t xml:space="preserve">he </w:t>
            </w:r>
            <w:r w:rsidR="00B313A7" w:rsidRPr="007320EB">
              <w:rPr>
                <w:rFonts w:cs="Calibri"/>
              </w:rPr>
              <w:t>schedule</w:t>
            </w:r>
            <w:r w:rsidR="00135A0D">
              <w:rPr>
                <w:rFonts w:cs="Calibri"/>
              </w:rPr>
              <w:t xml:space="preserve"> and planned activities</w:t>
            </w:r>
            <w:r w:rsidR="00CE4159">
              <w:rPr>
                <w:rFonts w:cs="Calibri"/>
              </w:rPr>
              <w:t xml:space="preserve">. </w:t>
            </w:r>
          </w:p>
          <w:p w14:paraId="610DD70A" w14:textId="1190E05E" w:rsidR="00C94E0D" w:rsidRPr="007320EB" w:rsidRDefault="00C94E0D" w:rsidP="00FC1D77">
            <w:pPr>
              <w:spacing w:after="0" w:line="240" w:lineRule="auto"/>
              <w:rPr>
                <w:rFonts w:cs="Calibri"/>
              </w:rPr>
            </w:pPr>
          </w:p>
          <w:p w14:paraId="6AFF8D45" w14:textId="4CB07DFD" w:rsidR="00FC1D77" w:rsidRPr="007320EB" w:rsidRDefault="00FC1D77" w:rsidP="00FC1D77">
            <w:pPr>
              <w:spacing w:after="0" w:line="240" w:lineRule="auto"/>
              <w:rPr>
                <w:rFonts w:cs="Calibri"/>
                <w:b/>
              </w:rPr>
            </w:pPr>
            <w:r w:rsidRPr="007320EB">
              <w:rPr>
                <w:rFonts w:cs="Calibri"/>
                <w:b/>
              </w:rPr>
              <w:t>DATE OF NEXT MEETING</w:t>
            </w:r>
          </w:p>
          <w:p w14:paraId="68DB8CD2" w14:textId="5D0A8B69" w:rsidR="00FC1D77" w:rsidRDefault="00FC1D77" w:rsidP="00280668">
            <w:pPr>
              <w:spacing w:after="0" w:line="240" w:lineRule="auto"/>
              <w:rPr>
                <w:rFonts w:cs="Calibri"/>
              </w:rPr>
            </w:pPr>
            <w:r w:rsidRPr="007320EB">
              <w:rPr>
                <w:rFonts w:cs="Calibri"/>
              </w:rPr>
              <w:t>The Standards Comm</w:t>
            </w:r>
            <w:r w:rsidRPr="00434D5F">
              <w:rPr>
                <w:rFonts w:cs="Calibri"/>
              </w:rPr>
              <w:t>ission w</w:t>
            </w:r>
            <w:r w:rsidR="009641A6" w:rsidRPr="00434D5F">
              <w:rPr>
                <w:rFonts w:cs="Calibri"/>
              </w:rPr>
              <w:t>ill</w:t>
            </w:r>
            <w:r w:rsidR="00C66F93">
              <w:rPr>
                <w:rFonts w:cs="Calibri"/>
              </w:rPr>
              <w:t xml:space="preserve"> next</w:t>
            </w:r>
            <w:r w:rsidR="009641A6" w:rsidRPr="00434D5F">
              <w:rPr>
                <w:rFonts w:cs="Calibri"/>
              </w:rPr>
              <w:t xml:space="preserve"> m</w:t>
            </w:r>
            <w:r w:rsidRPr="00434D5F">
              <w:rPr>
                <w:rFonts w:cs="Calibri"/>
              </w:rPr>
              <w:t xml:space="preserve">eet on </w:t>
            </w:r>
            <w:r w:rsidR="00FA5276">
              <w:rPr>
                <w:rFonts w:cs="Calibri"/>
              </w:rPr>
              <w:t>Tuesday</w:t>
            </w:r>
            <w:r w:rsidR="000F7DC7" w:rsidRPr="00434D5F">
              <w:rPr>
                <w:rFonts w:cs="Calibri"/>
              </w:rPr>
              <w:t>,</w:t>
            </w:r>
            <w:r w:rsidR="0008720C" w:rsidRPr="00434D5F">
              <w:rPr>
                <w:rFonts w:cs="Calibri"/>
              </w:rPr>
              <w:t xml:space="preserve"> </w:t>
            </w:r>
            <w:r w:rsidR="00C66F93">
              <w:rPr>
                <w:rFonts w:cs="Calibri"/>
              </w:rPr>
              <w:t>2</w:t>
            </w:r>
            <w:r w:rsidR="00FA5276">
              <w:rPr>
                <w:rFonts w:cs="Calibri"/>
              </w:rPr>
              <w:t>8 March</w:t>
            </w:r>
            <w:r w:rsidR="0008720C" w:rsidRPr="00434D5F">
              <w:rPr>
                <w:rFonts w:cs="Calibri"/>
              </w:rPr>
              <w:t xml:space="preserve"> </w:t>
            </w:r>
            <w:r w:rsidR="008C6FCD">
              <w:rPr>
                <w:rFonts w:cs="Calibri"/>
              </w:rPr>
              <w:t>2017</w:t>
            </w:r>
            <w:r w:rsidR="00C94E0D" w:rsidRPr="00434D5F">
              <w:rPr>
                <w:rFonts w:cs="Calibri"/>
              </w:rPr>
              <w:t>.</w:t>
            </w:r>
          </w:p>
          <w:p w14:paraId="6F929CF2" w14:textId="3E9B8D94" w:rsidR="00633A22" w:rsidRPr="007320EB" w:rsidRDefault="00633A22" w:rsidP="00F10E38">
            <w:pPr>
              <w:spacing w:after="0" w:line="240" w:lineRule="auto"/>
              <w:rPr>
                <w:rFonts w:cs="Calibri"/>
              </w:rPr>
            </w:pPr>
          </w:p>
        </w:tc>
        <w:tc>
          <w:tcPr>
            <w:tcW w:w="1184" w:type="dxa"/>
            <w:gridSpan w:val="3"/>
            <w:shd w:val="clear" w:color="auto" w:fill="auto"/>
          </w:tcPr>
          <w:p w14:paraId="15D6F16A" w14:textId="65961590" w:rsidR="00633A22" w:rsidRPr="00141B35" w:rsidRDefault="00633A22" w:rsidP="00FC6376">
            <w:pPr>
              <w:spacing w:after="0" w:line="240" w:lineRule="auto"/>
              <w:rPr>
                <w:rFonts w:cs="Calibri"/>
                <w:b/>
              </w:rPr>
            </w:pPr>
          </w:p>
        </w:tc>
      </w:tr>
    </w:tbl>
    <w:p w14:paraId="5851847C" w14:textId="4E4B9C52" w:rsidR="00FC1D77" w:rsidRDefault="00FC1D77" w:rsidP="00FC1D77"/>
    <w:p w14:paraId="4A5465BC" w14:textId="77777777" w:rsidR="0052545A" w:rsidRPr="00FC1D77" w:rsidRDefault="0052545A" w:rsidP="00FC1D77"/>
    <w:sectPr w:rsidR="0052545A" w:rsidRPr="00FC1D77" w:rsidSect="00B21E8F">
      <w:headerReference w:type="first" r:id="rId9"/>
      <w:type w:val="continuous"/>
      <w:pgSz w:w="11906" w:h="16838"/>
      <w:pgMar w:top="851" w:right="707" w:bottom="284" w:left="720" w:header="1" w:footer="1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2239A" w14:textId="77777777" w:rsidR="00EA4A6F" w:rsidRDefault="00EA4A6F" w:rsidP="0052545A">
      <w:pPr>
        <w:spacing w:after="0" w:line="240" w:lineRule="auto"/>
      </w:pPr>
      <w:r>
        <w:separator/>
      </w:r>
    </w:p>
  </w:endnote>
  <w:endnote w:type="continuationSeparator" w:id="0">
    <w:p w14:paraId="6E34021A" w14:textId="77777777" w:rsidR="00EA4A6F" w:rsidRDefault="00EA4A6F"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FAB39" w14:textId="77777777" w:rsidR="00EA4A6F" w:rsidRDefault="00EA4A6F" w:rsidP="0052545A">
      <w:pPr>
        <w:spacing w:after="0" w:line="240" w:lineRule="auto"/>
      </w:pPr>
      <w:r>
        <w:separator/>
      </w:r>
    </w:p>
  </w:footnote>
  <w:footnote w:type="continuationSeparator" w:id="0">
    <w:p w14:paraId="598169BD" w14:textId="77777777" w:rsidR="00EA4A6F" w:rsidRDefault="00EA4A6F" w:rsidP="00525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ABFA8" w14:textId="67A6EBC8" w:rsidR="00EA4A6F" w:rsidRDefault="00EA4A6F" w:rsidP="004A28A9">
    <w:pPr>
      <w:pStyle w:val="Header"/>
      <w:jc w:val="right"/>
    </w:pPr>
    <w:r>
      <w:rPr>
        <w:noProof/>
        <w:lang w:eastAsia="en-GB"/>
      </w:rPr>
      <w:drawing>
        <wp:anchor distT="0" distB="12192" distL="132588" distR="134620" simplePos="0" relativeHeight="251656704" behindDoc="1" locked="0" layoutInCell="1" allowOverlap="1" wp14:anchorId="0811A1E6" wp14:editId="7153D7D8">
          <wp:simplePos x="0" y="0"/>
          <wp:positionH relativeFrom="column">
            <wp:posOffset>6217793</wp:posOffset>
          </wp:positionH>
          <wp:positionV relativeFrom="paragraph">
            <wp:posOffset>-635</wp:posOffset>
          </wp:positionV>
          <wp:extent cx="802640" cy="10697845"/>
          <wp:effectExtent l="38100" t="0" r="54610" b="8255"/>
          <wp:wrapNone/>
          <wp:docPr id="3"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361"/>
      <w:gridCol w:w="5245"/>
    </w:tblGrid>
    <w:tr w:rsidR="00EA4A6F" w:rsidRPr="00C677CD" w14:paraId="760E12B9" w14:textId="77777777" w:rsidTr="00C677CD">
      <w:tc>
        <w:tcPr>
          <w:tcW w:w="4361" w:type="dxa"/>
          <w:shd w:val="clear" w:color="auto" w:fill="auto"/>
          <w:hideMark/>
        </w:tcPr>
        <w:p w14:paraId="4087690C" w14:textId="77777777" w:rsidR="00EA4A6F" w:rsidRPr="00C677CD" w:rsidRDefault="00EA4A6F">
          <w:pPr>
            <w:pStyle w:val="Header"/>
          </w:pPr>
          <w:r>
            <w:rPr>
              <w:noProof/>
              <w:lang w:eastAsia="en-GB"/>
            </w:rPr>
            <w:drawing>
              <wp:inline distT="0" distB="0" distL="0" distR="0" wp14:anchorId="73DF913B" wp14:editId="62D37F17">
                <wp:extent cx="2606040" cy="1123855"/>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5" w:type="dxa"/>
          <w:shd w:val="clear" w:color="auto" w:fill="auto"/>
        </w:tcPr>
        <w:p w14:paraId="25D5C31C" w14:textId="201F0788" w:rsidR="00EA4A6F" w:rsidRPr="00C677CD" w:rsidRDefault="00EA4A6F">
          <w:pPr>
            <w:pStyle w:val="Header"/>
            <w:rPr>
              <w:b/>
              <w:sz w:val="44"/>
            </w:rPr>
          </w:pPr>
        </w:p>
        <w:p w14:paraId="14AAC32B" w14:textId="77777777" w:rsidR="00EA4A6F" w:rsidRPr="00C677CD" w:rsidRDefault="00EA4A6F" w:rsidP="009472A3">
          <w:pPr>
            <w:pStyle w:val="Header"/>
            <w:jc w:val="right"/>
          </w:pPr>
          <w:r w:rsidRPr="00C677CD">
            <w:rPr>
              <w:b/>
              <w:sz w:val="44"/>
            </w:rPr>
            <w:t>SCS MEETING</w:t>
          </w:r>
        </w:p>
      </w:tc>
    </w:tr>
  </w:tbl>
  <w:p w14:paraId="14F135B3" w14:textId="77777777" w:rsidR="00EA4A6F" w:rsidRDefault="00EA4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380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036F92"/>
    <w:multiLevelType w:val="hybridMultilevel"/>
    <w:tmpl w:val="F560FEA6"/>
    <w:lvl w:ilvl="0" w:tplc="FEE400E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18913AD2"/>
    <w:multiLevelType w:val="multilevel"/>
    <w:tmpl w:val="C3704616"/>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22B357D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5">
    <w:nsid w:val="2BF17E58"/>
    <w:multiLevelType w:val="hybridMultilevel"/>
    <w:tmpl w:val="F5CC15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9644E8"/>
    <w:multiLevelType w:val="hybridMultilevel"/>
    <w:tmpl w:val="8388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1F2B6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FB15A3"/>
    <w:multiLevelType w:val="hybridMultilevel"/>
    <w:tmpl w:val="7436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C5506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10">
    <w:nsid w:val="3EF152B4"/>
    <w:multiLevelType w:val="hybridMultilevel"/>
    <w:tmpl w:val="058AD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86D4F03"/>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5C2670"/>
    <w:multiLevelType w:val="hybridMultilevel"/>
    <w:tmpl w:val="A9A2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3F3CED"/>
    <w:multiLevelType w:val="hybridMultilevel"/>
    <w:tmpl w:val="3554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4851C0"/>
    <w:multiLevelType w:val="hybridMultilevel"/>
    <w:tmpl w:val="0EA2E1C0"/>
    <w:lvl w:ilvl="0" w:tplc="0B1472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12"/>
  </w:num>
  <w:num w:numId="5">
    <w:abstractNumId w:val="6"/>
  </w:num>
  <w:num w:numId="6">
    <w:abstractNumId w:val="8"/>
  </w:num>
  <w:num w:numId="7">
    <w:abstractNumId w:val="14"/>
  </w:num>
  <w:num w:numId="8">
    <w:abstractNumId w:val="13"/>
  </w:num>
  <w:num w:numId="9">
    <w:abstractNumId w:val="1"/>
  </w:num>
  <w:num w:numId="10">
    <w:abstractNumId w:val="5"/>
  </w:num>
  <w:num w:numId="11">
    <w:abstractNumId w:val="4"/>
  </w:num>
  <w:num w:numId="12">
    <w:abstractNumId w:val="11"/>
  </w:num>
  <w:num w:numId="13">
    <w:abstractNumId w:val="9"/>
  </w:num>
  <w:num w:numId="14">
    <w:abstractNumId w:val="7"/>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58"/>
    <w:rsid w:val="0000281F"/>
    <w:rsid w:val="00004F40"/>
    <w:rsid w:val="0000535F"/>
    <w:rsid w:val="00007F82"/>
    <w:rsid w:val="00011073"/>
    <w:rsid w:val="000138B3"/>
    <w:rsid w:val="00015C4E"/>
    <w:rsid w:val="00016327"/>
    <w:rsid w:val="00020708"/>
    <w:rsid w:val="00020F14"/>
    <w:rsid w:val="00024905"/>
    <w:rsid w:val="00024C1B"/>
    <w:rsid w:val="0002594D"/>
    <w:rsid w:val="000302A3"/>
    <w:rsid w:val="00033516"/>
    <w:rsid w:val="00035552"/>
    <w:rsid w:val="000362C6"/>
    <w:rsid w:val="0004038E"/>
    <w:rsid w:val="00041C70"/>
    <w:rsid w:val="00053118"/>
    <w:rsid w:val="000540C4"/>
    <w:rsid w:val="000605EC"/>
    <w:rsid w:val="00061CB9"/>
    <w:rsid w:val="00063627"/>
    <w:rsid w:val="0006378E"/>
    <w:rsid w:val="000643B0"/>
    <w:rsid w:val="00064931"/>
    <w:rsid w:val="00067621"/>
    <w:rsid w:val="00071237"/>
    <w:rsid w:val="00074E47"/>
    <w:rsid w:val="0007567E"/>
    <w:rsid w:val="00075964"/>
    <w:rsid w:val="00076CFD"/>
    <w:rsid w:val="00077290"/>
    <w:rsid w:val="0008054D"/>
    <w:rsid w:val="00080F06"/>
    <w:rsid w:val="00084D66"/>
    <w:rsid w:val="00086338"/>
    <w:rsid w:val="0008720C"/>
    <w:rsid w:val="00090976"/>
    <w:rsid w:val="00091577"/>
    <w:rsid w:val="000929F8"/>
    <w:rsid w:val="00095A78"/>
    <w:rsid w:val="000A0139"/>
    <w:rsid w:val="000A0C02"/>
    <w:rsid w:val="000A253D"/>
    <w:rsid w:val="000A4B0E"/>
    <w:rsid w:val="000A5C10"/>
    <w:rsid w:val="000A5FAF"/>
    <w:rsid w:val="000A7700"/>
    <w:rsid w:val="000B03D4"/>
    <w:rsid w:val="000B62BB"/>
    <w:rsid w:val="000C0AF8"/>
    <w:rsid w:val="000C17CB"/>
    <w:rsid w:val="000C2137"/>
    <w:rsid w:val="000C4314"/>
    <w:rsid w:val="000C62B2"/>
    <w:rsid w:val="000C7555"/>
    <w:rsid w:val="000D5550"/>
    <w:rsid w:val="000D5E27"/>
    <w:rsid w:val="000D65FD"/>
    <w:rsid w:val="000D702E"/>
    <w:rsid w:val="000E17DC"/>
    <w:rsid w:val="000E1906"/>
    <w:rsid w:val="000E39FD"/>
    <w:rsid w:val="000E47EE"/>
    <w:rsid w:val="000E4DD8"/>
    <w:rsid w:val="000E65E9"/>
    <w:rsid w:val="000E7253"/>
    <w:rsid w:val="000F0751"/>
    <w:rsid w:val="000F0E53"/>
    <w:rsid w:val="000F2022"/>
    <w:rsid w:val="000F32FB"/>
    <w:rsid w:val="000F3F1B"/>
    <w:rsid w:val="000F5997"/>
    <w:rsid w:val="000F762D"/>
    <w:rsid w:val="000F7DC7"/>
    <w:rsid w:val="00100750"/>
    <w:rsid w:val="00100D41"/>
    <w:rsid w:val="001015C0"/>
    <w:rsid w:val="00107CC3"/>
    <w:rsid w:val="0011092C"/>
    <w:rsid w:val="001121AF"/>
    <w:rsid w:val="001124F3"/>
    <w:rsid w:val="00112576"/>
    <w:rsid w:val="0012175A"/>
    <w:rsid w:val="00124CFC"/>
    <w:rsid w:val="00124FB5"/>
    <w:rsid w:val="00125131"/>
    <w:rsid w:val="00126ABD"/>
    <w:rsid w:val="001275BF"/>
    <w:rsid w:val="00127A3E"/>
    <w:rsid w:val="00127D56"/>
    <w:rsid w:val="00130429"/>
    <w:rsid w:val="001308E9"/>
    <w:rsid w:val="00132E57"/>
    <w:rsid w:val="00133DFB"/>
    <w:rsid w:val="0013428D"/>
    <w:rsid w:val="00135A0D"/>
    <w:rsid w:val="00136947"/>
    <w:rsid w:val="00137331"/>
    <w:rsid w:val="00141B35"/>
    <w:rsid w:val="001432CF"/>
    <w:rsid w:val="001503CC"/>
    <w:rsid w:val="00155B04"/>
    <w:rsid w:val="00155F92"/>
    <w:rsid w:val="00157954"/>
    <w:rsid w:val="00161461"/>
    <w:rsid w:val="00161473"/>
    <w:rsid w:val="00162255"/>
    <w:rsid w:val="001651ED"/>
    <w:rsid w:val="00165512"/>
    <w:rsid w:val="001671A4"/>
    <w:rsid w:val="0017092F"/>
    <w:rsid w:val="00171AFC"/>
    <w:rsid w:val="00173A23"/>
    <w:rsid w:val="00175181"/>
    <w:rsid w:val="00175C56"/>
    <w:rsid w:val="001773E6"/>
    <w:rsid w:val="001812C4"/>
    <w:rsid w:val="001825F3"/>
    <w:rsid w:val="0018516B"/>
    <w:rsid w:val="00186863"/>
    <w:rsid w:val="001876BA"/>
    <w:rsid w:val="00187D51"/>
    <w:rsid w:val="00195102"/>
    <w:rsid w:val="001A0DEA"/>
    <w:rsid w:val="001A361B"/>
    <w:rsid w:val="001A46F5"/>
    <w:rsid w:val="001A6446"/>
    <w:rsid w:val="001A797A"/>
    <w:rsid w:val="001A7CC4"/>
    <w:rsid w:val="001B3334"/>
    <w:rsid w:val="001B47C9"/>
    <w:rsid w:val="001B5E38"/>
    <w:rsid w:val="001B6027"/>
    <w:rsid w:val="001B6DEB"/>
    <w:rsid w:val="001C0532"/>
    <w:rsid w:val="001C2D38"/>
    <w:rsid w:val="001C3D13"/>
    <w:rsid w:val="001C6254"/>
    <w:rsid w:val="001C6CE2"/>
    <w:rsid w:val="001C73DB"/>
    <w:rsid w:val="001D168B"/>
    <w:rsid w:val="001D1843"/>
    <w:rsid w:val="001D1B15"/>
    <w:rsid w:val="001D3B97"/>
    <w:rsid w:val="001D50A9"/>
    <w:rsid w:val="001D755B"/>
    <w:rsid w:val="001E0998"/>
    <w:rsid w:val="001E1D46"/>
    <w:rsid w:val="001E2A3C"/>
    <w:rsid w:val="001E731E"/>
    <w:rsid w:val="001E745D"/>
    <w:rsid w:val="001F2BAE"/>
    <w:rsid w:val="001F5DB3"/>
    <w:rsid w:val="001F69CA"/>
    <w:rsid w:val="00200F26"/>
    <w:rsid w:val="00204788"/>
    <w:rsid w:val="00207738"/>
    <w:rsid w:val="00207F0E"/>
    <w:rsid w:val="002129D6"/>
    <w:rsid w:val="00212D55"/>
    <w:rsid w:val="00213CF4"/>
    <w:rsid w:val="00214F82"/>
    <w:rsid w:val="002207CF"/>
    <w:rsid w:val="00220915"/>
    <w:rsid w:val="002220D2"/>
    <w:rsid w:val="00225F73"/>
    <w:rsid w:val="0023222F"/>
    <w:rsid w:val="0023558F"/>
    <w:rsid w:val="002372D0"/>
    <w:rsid w:val="00237AA2"/>
    <w:rsid w:val="00237BCD"/>
    <w:rsid w:val="00240383"/>
    <w:rsid w:val="002435ED"/>
    <w:rsid w:val="00244C56"/>
    <w:rsid w:val="00245AC4"/>
    <w:rsid w:val="00251715"/>
    <w:rsid w:val="002524BD"/>
    <w:rsid w:val="00252D24"/>
    <w:rsid w:val="002554C7"/>
    <w:rsid w:val="00260AB6"/>
    <w:rsid w:val="00260DF8"/>
    <w:rsid w:val="00262A76"/>
    <w:rsid w:val="00265A0A"/>
    <w:rsid w:val="0026669E"/>
    <w:rsid w:val="00270B6D"/>
    <w:rsid w:val="002713FD"/>
    <w:rsid w:val="00271E67"/>
    <w:rsid w:val="002766CE"/>
    <w:rsid w:val="00280668"/>
    <w:rsid w:val="002819DC"/>
    <w:rsid w:val="0028375C"/>
    <w:rsid w:val="00286042"/>
    <w:rsid w:val="00290447"/>
    <w:rsid w:val="00290658"/>
    <w:rsid w:val="00290F17"/>
    <w:rsid w:val="0029176C"/>
    <w:rsid w:val="0029186C"/>
    <w:rsid w:val="00291DF1"/>
    <w:rsid w:val="00291E9C"/>
    <w:rsid w:val="00292EEC"/>
    <w:rsid w:val="00293EC6"/>
    <w:rsid w:val="002946F5"/>
    <w:rsid w:val="00294A5B"/>
    <w:rsid w:val="00297076"/>
    <w:rsid w:val="002A13C1"/>
    <w:rsid w:val="002A2CC1"/>
    <w:rsid w:val="002A362F"/>
    <w:rsid w:val="002A3A5D"/>
    <w:rsid w:val="002B2D66"/>
    <w:rsid w:val="002B6114"/>
    <w:rsid w:val="002B701D"/>
    <w:rsid w:val="002B745F"/>
    <w:rsid w:val="002B74C6"/>
    <w:rsid w:val="002C0883"/>
    <w:rsid w:val="002C4B6A"/>
    <w:rsid w:val="002C63FF"/>
    <w:rsid w:val="002C656B"/>
    <w:rsid w:val="002C7DE9"/>
    <w:rsid w:val="002D0141"/>
    <w:rsid w:val="002D11E9"/>
    <w:rsid w:val="002D3E45"/>
    <w:rsid w:val="002D56F7"/>
    <w:rsid w:val="002D5AE6"/>
    <w:rsid w:val="002D63C1"/>
    <w:rsid w:val="002E1160"/>
    <w:rsid w:val="002E46C8"/>
    <w:rsid w:val="002F001B"/>
    <w:rsid w:val="002F41E2"/>
    <w:rsid w:val="002F4497"/>
    <w:rsid w:val="002F576C"/>
    <w:rsid w:val="002F635E"/>
    <w:rsid w:val="002F6820"/>
    <w:rsid w:val="00302CB5"/>
    <w:rsid w:val="00304B4F"/>
    <w:rsid w:val="00304F6A"/>
    <w:rsid w:val="00306305"/>
    <w:rsid w:val="0030658D"/>
    <w:rsid w:val="00310A4D"/>
    <w:rsid w:val="0031140E"/>
    <w:rsid w:val="0031280A"/>
    <w:rsid w:val="00312D47"/>
    <w:rsid w:val="00313136"/>
    <w:rsid w:val="003138BD"/>
    <w:rsid w:val="00315CE5"/>
    <w:rsid w:val="003166C9"/>
    <w:rsid w:val="0031771A"/>
    <w:rsid w:val="00320371"/>
    <w:rsid w:val="0032157B"/>
    <w:rsid w:val="00325237"/>
    <w:rsid w:val="00325FD2"/>
    <w:rsid w:val="0033013F"/>
    <w:rsid w:val="00334680"/>
    <w:rsid w:val="00334FF1"/>
    <w:rsid w:val="00335A82"/>
    <w:rsid w:val="00337F0B"/>
    <w:rsid w:val="00341C78"/>
    <w:rsid w:val="00343010"/>
    <w:rsid w:val="003476BD"/>
    <w:rsid w:val="00350B32"/>
    <w:rsid w:val="0035119D"/>
    <w:rsid w:val="003545E7"/>
    <w:rsid w:val="003554E2"/>
    <w:rsid w:val="00355E3E"/>
    <w:rsid w:val="0035731D"/>
    <w:rsid w:val="00357F7D"/>
    <w:rsid w:val="00360837"/>
    <w:rsid w:val="00362595"/>
    <w:rsid w:val="00362B4B"/>
    <w:rsid w:val="00363417"/>
    <w:rsid w:val="00364310"/>
    <w:rsid w:val="00364F0F"/>
    <w:rsid w:val="00380523"/>
    <w:rsid w:val="003816D2"/>
    <w:rsid w:val="00382527"/>
    <w:rsid w:val="00382572"/>
    <w:rsid w:val="00383D67"/>
    <w:rsid w:val="00385E50"/>
    <w:rsid w:val="00387535"/>
    <w:rsid w:val="00387B51"/>
    <w:rsid w:val="00390F98"/>
    <w:rsid w:val="00391C6A"/>
    <w:rsid w:val="00393366"/>
    <w:rsid w:val="00394594"/>
    <w:rsid w:val="003947C2"/>
    <w:rsid w:val="00397CE7"/>
    <w:rsid w:val="003A0BA6"/>
    <w:rsid w:val="003A414A"/>
    <w:rsid w:val="003A5D40"/>
    <w:rsid w:val="003A6062"/>
    <w:rsid w:val="003A639E"/>
    <w:rsid w:val="003A64D0"/>
    <w:rsid w:val="003B13A9"/>
    <w:rsid w:val="003B2EFC"/>
    <w:rsid w:val="003B3735"/>
    <w:rsid w:val="003B3C2C"/>
    <w:rsid w:val="003C0ABC"/>
    <w:rsid w:val="003C0CC9"/>
    <w:rsid w:val="003C0F72"/>
    <w:rsid w:val="003C3FA6"/>
    <w:rsid w:val="003C4742"/>
    <w:rsid w:val="003C58CB"/>
    <w:rsid w:val="003C65EA"/>
    <w:rsid w:val="003C7BF8"/>
    <w:rsid w:val="003D120D"/>
    <w:rsid w:val="003D30DB"/>
    <w:rsid w:val="003D4E8D"/>
    <w:rsid w:val="003D6ED7"/>
    <w:rsid w:val="003E0D4D"/>
    <w:rsid w:val="003E12BD"/>
    <w:rsid w:val="003E2ACC"/>
    <w:rsid w:val="003F00A6"/>
    <w:rsid w:val="003F28D8"/>
    <w:rsid w:val="003F3728"/>
    <w:rsid w:val="003F37D9"/>
    <w:rsid w:val="003F389F"/>
    <w:rsid w:val="003F5567"/>
    <w:rsid w:val="003F6075"/>
    <w:rsid w:val="003F672F"/>
    <w:rsid w:val="003F76C3"/>
    <w:rsid w:val="0040044A"/>
    <w:rsid w:val="0040092E"/>
    <w:rsid w:val="004014A2"/>
    <w:rsid w:val="0040220C"/>
    <w:rsid w:val="00403270"/>
    <w:rsid w:val="00403381"/>
    <w:rsid w:val="00407979"/>
    <w:rsid w:val="00407E1B"/>
    <w:rsid w:val="004142D0"/>
    <w:rsid w:val="00414540"/>
    <w:rsid w:val="00416C53"/>
    <w:rsid w:val="00417650"/>
    <w:rsid w:val="00420E92"/>
    <w:rsid w:val="0042137C"/>
    <w:rsid w:val="004218EA"/>
    <w:rsid w:val="0043169C"/>
    <w:rsid w:val="004347CB"/>
    <w:rsid w:val="00434D5F"/>
    <w:rsid w:val="00435027"/>
    <w:rsid w:val="0043544E"/>
    <w:rsid w:val="00435AC1"/>
    <w:rsid w:val="00440936"/>
    <w:rsid w:val="00444524"/>
    <w:rsid w:val="00444DBC"/>
    <w:rsid w:val="00452ADF"/>
    <w:rsid w:val="00453328"/>
    <w:rsid w:val="0045379C"/>
    <w:rsid w:val="00456051"/>
    <w:rsid w:val="00460C46"/>
    <w:rsid w:val="00461D9A"/>
    <w:rsid w:val="00463F61"/>
    <w:rsid w:val="00465FE5"/>
    <w:rsid w:val="00466188"/>
    <w:rsid w:val="00470B3D"/>
    <w:rsid w:val="00471F0C"/>
    <w:rsid w:val="00475AE1"/>
    <w:rsid w:val="00483300"/>
    <w:rsid w:val="00486F8F"/>
    <w:rsid w:val="00490127"/>
    <w:rsid w:val="00490A41"/>
    <w:rsid w:val="004913B0"/>
    <w:rsid w:val="00493735"/>
    <w:rsid w:val="0049735C"/>
    <w:rsid w:val="004A1927"/>
    <w:rsid w:val="004A215E"/>
    <w:rsid w:val="004A28A9"/>
    <w:rsid w:val="004A333F"/>
    <w:rsid w:val="004A35B2"/>
    <w:rsid w:val="004A60C8"/>
    <w:rsid w:val="004A6592"/>
    <w:rsid w:val="004B0131"/>
    <w:rsid w:val="004B3CD0"/>
    <w:rsid w:val="004B53FE"/>
    <w:rsid w:val="004B568E"/>
    <w:rsid w:val="004C6E69"/>
    <w:rsid w:val="004C79E9"/>
    <w:rsid w:val="004C7E11"/>
    <w:rsid w:val="004D05F9"/>
    <w:rsid w:val="004D20B9"/>
    <w:rsid w:val="004D3059"/>
    <w:rsid w:val="004D3F07"/>
    <w:rsid w:val="004D53B0"/>
    <w:rsid w:val="004E04B6"/>
    <w:rsid w:val="004E362A"/>
    <w:rsid w:val="004E4C87"/>
    <w:rsid w:val="004E62F7"/>
    <w:rsid w:val="004E7554"/>
    <w:rsid w:val="004F0A4C"/>
    <w:rsid w:val="004F133E"/>
    <w:rsid w:val="004F2A76"/>
    <w:rsid w:val="0050001C"/>
    <w:rsid w:val="005008CF"/>
    <w:rsid w:val="005030C5"/>
    <w:rsid w:val="00506141"/>
    <w:rsid w:val="005078FD"/>
    <w:rsid w:val="00512972"/>
    <w:rsid w:val="00514AEB"/>
    <w:rsid w:val="005157AD"/>
    <w:rsid w:val="005176A1"/>
    <w:rsid w:val="00521DD6"/>
    <w:rsid w:val="00522B90"/>
    <w:rsid w:val="005245A5"/>
    <w:rsid w:val="0052545A"/>
    <w:rsid w:val="00525A8A"/>
    <w:rsid w:val="005307DE"/>
    <w:rsid w:val="00531CA4"/>
    <w:rsid w:val="0053301E"/>
    <w:rsid w:val="005362C5"/>
    <w:rsid w:val="00536BA4"/>
    <w:rsid w:val="00543431"/>
    <w:rsid w:val="005462BE"/>
    <w:rsid w:val="00546CBC"/>
    <w:rsid w:val="00546D11"/>
    <w:rsid w:val="00546E54"/>
    <w:rsid w:val="00547642"/>
    <w:rsid w:val="00551282"/>
    <w:rsid w:val="0055374C"/>
    <w:rsid w:val="005545D7"/>
    <w:rsid w:val="005558E3"/>
    <w:rsid w:val="0056095B"/>
    <w:rsid w:val="0056204B"/>
    <w:rsid w:val="00563709"/>
    <w:rsid w:val="005639E6"/>
    <w:rsid w:val="00575742"/>
    <w:rsid w:val="00577D35"/>
    <w:rsid w:val="005802FE"/>
    <w:rsid w:val="005804AA"/>
    <w:rsid w:val="005815E7"/>
    <w:rsid w:val="00582A98"/>
    <w:rsid w:val="00583358"/>
    <w:rsid w:val="00583935"/>
    <w:rsid w:val="00583E93"/>
    <w:rsid w:val="00585B72"/>
    <w:rsid w:val="00586C2C"/>
    <w:rsid w:val="00587EFD"/>
    <w:rsid w:val="00590395"/>
    <w:rsid w:val="00591BEA"/>
    <w:rsid w:val="00593203"/>
    <w:rsid w:val="005951D2"/>
    <w:rsid w:val="005961EB"/>
    <w:rsid w:val="00596744"/>
    <w:rsid w:val="005A16DB"/>
    <w:rsid w:val="005A2A77"/>
    <w:rsid w:val="005A2D5E"/>
    <w:rsid w:val="005A3FB2"/>
    <w:rsid w:val="005A462B"/>
    <w:rsid w:val="005A629E"/>
    <w:rsid w:val="005A6617"/>
    <w:rsid w:val="005B1A04"/>
    <w:rsid w:val="005B2855"/>
    <w:rsid w:val="005B5E48"/>
    <w:rsid w:val="005B7499"/>
    <w:rsid w:val="005C06BA"/>
    <w:rsid w:val="005D0400"/>
    <w:rsid w:val="005D06A4"/>
    <w:rsid w:val="005D1D0C"/>
    <w:rsid w:val="005D29CF"/>
    <w:rsid w:val="005D45F1"/>
    <w:rsid w:val="005D4B8B"/>
    <w:rsid w:val="005E3ABC"/>
    <w:rsid w:val="005E4010"/>
    <w:rsid w:val="005E5EC9"/>
    <w:rsid w:val="005E7AB2"/>
    <w:rsid w:val="005F0F5A"/>
    <w:rsid w:val="005F404C"/>
    <w:rsid w:val="00607780"/>
    <w:rsid w:val="0061041A"/>
    <w:rsid w:val="006104E9"/>
    <w:rsid w:val="00611961"/>
    <w:rsid w:val="00613CE2"/>
    <w:rsid w:val="00620310"/>
    <w:rsid w:val="00627A8F"/>
    <w:rsid w:val="00633A22"/>
    <w:rsid w:val="006358EC"/>
    <w:rsid w:val="006362DA"/>
    <w:rsid w:val="00636483"/>
    <w:rsid w:val="0063681B"/>
    <w:rsid w:val="0064248A"/>
    <w:rsid w:val="00647621"/>
    <w:rsid w:val="00651992"/>
    <w:rsid w:val="00652616"/>
    <w:rsid w:val="00652AC4"/>
    <w:rsid w:val="00654463"/>
    <w:rsid w:val="00654A34"/>
    <w:rsid w:val="0065779A"/>
    <w:rsid w:val="006579AA"/>
    <w:rsid w:val="00663E7C"/>
    <w:rsid w:val="006651BB"/>
    <w:rsid w:val="006655E1"/>
    <w:rsid w:val="00665770"/>
    <w:rsid w:val="0066737A"/>
    <w:rsid w:val="0067197E"/>
    <w:rsid w:val="00672F3C"/>
    <w:rsid w:val="00674914"/>
    <w:rsid w:val="00681C67"/>
    <w:rsid w:val="006826AB"/>
    <w:rsid w:val="0068276F"/>
    <w:rsid w:val="00683A42"/>
    <w:rsid w:val="00683C65"/>
    <w:rsid w:val="00684A0B"/>
    <w:rsid w:val="0068528E"/>
    <w:rsid w:val="006852AE"/>
    <w:rsid w:val="006854ED"/>
    <w:rsid w:val="00694095"/>
    <w:rsid w:val="006A0AB7"/>
    <w:rsid w:val="006A2244"/>
    <w:rsid w:val="006A354C"/>
    <w:rsid w:val="006A36E8"/>
    <w:rsid w:val="006A476C"/>
    <w:rsid w:val="006A4B0A"/>
    <w:rsid w:val="006B1828"/>
    <w:rsid w:val="006B4428"/>
    <w:rsid w:val="006B6EB3"/>
    <w:rsid w:val="006C1DA0"/>
    <w:rsid w:val="006C2434"/>
    <w:rsid w:val="006C40CD"/>
    <w:rsid w:val="006C538E"/>
    <w:rsid w:val="006C7EA3"/>
    <w:rsid w:val="006D2E61"/>
    <w:rsid w:val="006D46E5"/>
    <w:rsid w:val="006D5300"/>
    <w:rsid w:val="006D5A61"/>
    <w:rsid w:val="006D5C7D"/>
    <w:rsid w:val="006E0A93"/>
    <w:rsid w:val="006E1A85"/>
    <w:rsid w:val="006E1EBE"/>
    <w:rsid w:val="006E659D"/>
    <w:rsid w:val="006E66D2"/>
    <w:rsid w:val="006E6EE7"/>
    <w:rsid w:val="006E7DBA"/>
    <w:rsid w:val="006F176D"/>
    <w:rsid w:val="006F1865"/>
    <w:rsid w:val="006F3541"/>
    <w:rsid w:val="006F46B9"/>
    <w:rsid w:val="006F6258"/>
    <w:rsid w:val="006F7458"/>
    <w:rsid w:val="006F763D"/>
    <w:rsid w:val="00700685"/>
    <w:rsid w:val="00700F1F"/>
    <w:rsid w:val="00701E1F"/>
    <w:rsid w:val="00706946"/>
    <w:rsid w:val="007106E5"/>
    <w:rsid w:val="00712500"/>
    <w:rsid w:val="00714E66"/>
    <w:rsid w:val="00715A5E"/>
    <w:rsid w:val="00716842"/>
    <w:rsid w:val="00717D65"/>
    <w:rsid w:val="00720864"/>
    <w:rsid w:val="00720C49"/>
    <w:rsid w:val="00723800"/>
    <w:rsid w:val="00723ACE"/>
    <w:rsid w:val="00727735"/>
    <w:rsid w:val="00731494"/>
    <w:rsid w:val="007320EB"/>
    <w:rsid w:val="00733676"/>
    <w:rsid w:val="00733C61"/>
    <w:rsid w:val="0074198D"/>
    <w:rsid w:val="00743F0E"/>
    <w:rsid w:val="007476CA"/>
    <w:rsid w:val="00751FDE"/>
    <w:rsid w:val="00754F3D"/>
    <w:rsid w:val="0076103F"/>
    <w:rsid w:val="0076203B"/>
    <w:rsid w:val="00763C3D"/>
    <w:rsid w:val="007641D2"/>
    <w:rsid w:val="00766BD1"/>
    <w:rsid w:val="00770695"/>
    <w:rsid w:val="00772661"/>
    <w:rsid w:val="00772FF3"/>
    <w:rsid w:val="00773491"/>
    <w:rsid w:val="00773F3D"/>
    <w:rsid w:val="00774FB9"/>
    <w:rsid w:val="0078170B"/>
    <w:rsid w:val="00784363"/>
    <w:rsid w:val="00785B12"/>
    <w:rsid w:val="00785FA5"/>
    <w:rsid w:val="00791D0A"/>
    <w:rsid w:val="00792CDD"/>
    <w:rsid w:val="00794AAC"/>
    <w:rsid w:val="00796EEB"/>
    <w:rsid w:val="00797437"/>
    <w:rsid w:val="007A0170"/>
    <w:rsid w:val="007A340C"/>
    <w:rsid w:val="007A4738"/>
    <w:rsid w:val="007A6EC6"/>
    <w:rsid w:val="007A7806"/>
    <w:rsid w:val="007B0B48"/>
    <w:rsid w:val="007B17CD"/>
    <w:rsid w:val="007B6288"/>
    <w:rsid w:val="007B6C74"/>
    <w:rsid w:val="007C008B"/>
    <w:rsid w:val="007C19FF"/>
    <w:rsid w:val="007C3B8E"/>
    <w:rsid w:val="007D1286"/>
    <w:rsid w:val="007D32E2"/>
    <w:rsid w:val="007D3530"/>
    <w:rsid w:val="007D4FDD"/>
    <w:rsid w:val="007D77F9"/>
    <w:rsid w:val="007E5E65"/>
    <w:rsid w:val="007E7F6D"/>
    <w:rsid w:val="007F035F"/>
    <w:rsid w:val="007F131E"/>
    <w:rsid w:val="007F5E10"/>
    <w:rsid w:val="00801913"/>
    <w:rsid w:val="00801F07"/>
    <w:rsid w:val="00802D26"/>
    <w:rsid w:val="0081015E"/>
    <w:rsid w:val="00813330"/>
    <w:rsid w:val="00814E98"/>
    <w:rsid w:val="00814F91"/>
    <w:rsid w:val="00815E5E"/>
    <w:rsid w:val="00815F27"/>
    <w:rsid w:val="008165F9"/>
    <w:rsid w:val="00816C67"/>
    <w:rsid w:val="0081715C"/>
    <w:rsid w:val="008177B1"/>
    <w:rsid w:val="00822D55"/>
    <w:rsid w:val="008242B1"/>
    <w:rsid w:val="0082714C"/>
    <w:rsid w:val="00831992"/>
    <w:rsid w:val="00832A46"/>
    <w:rsid w:val="008435AD"/>
    <w:rsid w:val="00843F3D"/>
    <w:rsid w:val="008538C4"/>
    <w:rsid w:val="0085452F"/>
    <w:rsid w:val="00857206"/>
    <w:rsid w:val="00860A75"/>
    <w:rsid w:val="00862171"/>
    <w:rsid w:val="0086310D"/>
    <w:rsid w:val="00865EC7"/>
    <w:rsid w:val="00872636"/>
    <w:rsid w:val="00872D71"/>
    <w:rsid w:val="00873AB8"/>
    <w:rsid w:val="00876B1B"/>
    <w:rsid w:val="00876F5F"/>
    <w:rsid w:val="00877DD1"/>
    <w:rsid w:val="00883D8F"/>
    <w:rsid w:val="008840F4"/>
    <w:rsid w:val="0088419D"/>
    <w:rsid w:val="00885992"/>
    <w:rsid w:val="00885BC8"/>
    <w:rsid w:val="00886887"/>
    <w:rsid w:val="00890E28"/>
    <w:rsid w:val="00890EDA"/>
    <w:rsid w:val="00891328"/>
    <w:rsid w:val="00891D90"/>
    <w:rsid w:val="00892E6D"/>
    <w:rsid w:val="0089306B"/>
    <w:rsid w:val="00893378"/>
    <w:rsid w:val="00895BC8"/>
    <w:rsid w:val="00895C69"/>
    <w:rsid w:val="008966A9"/>
    <w:rsid w:val="00897EC9"/>
    <w:rsid w:val="008A0044"/>
    <w:rsid w:val="008A1362"/>
    <w:rsid w:val="008A1EC5"/>
    <w:rsid w:val="008A4B00"/>
    <w:rsid w:val="008A5633"/>
    <w:rsid w:val="008A67CB"/>
    <w:rsid w:val="008A6829"/>
    <w:rsid w:val="008A685D"/>
    <w:rsid w:val="008B3CBC"/>
    <w:rsid w:val="008B658F"/>
    <w:rsid w:val="008B697D"/>
    <w:rsid w:val="008B7029"/>
    <w:rsid w:val="008C0CDC"/>
    <w:rsid w:val="008C2E68"/>
    <w:rsid w:val="008C3B5D"/>
    <w:rsid w:val="008C4B92"/>
    <w:rsid w:val="008C6CD7"/>
    <w:rsid w:val="008C6FCD"/>
    <w:rsid w:val="008C7A33"/>
    <w:rsid w:val="008D2544"/>
    <w:rsid w:val="008D3420"/>
    <w:rsid w:val="008D3A03"/>
    <w:rsid w:val="008D52E3"/>
    <w:rsid w:val="008D6A47"/>
    <w:rsid w:val="008D6C95"/>
    <w:rsid w:val="008E040B"/>
    <w:rsid w:val="008E251A"/>
    <w:rsid w:val="008E6621"/>
    <w:rsid w:val="008E68D6"/>
    <w:rsid w:val="008E693B"/>
    <w:rsid w:val="008F1965"/>
    <w:rsid w:val="008F3B14"/>
    <w:rsid w:val="008F410A"/>
    <w:rsid w:val="008F5704"/>
    <w:rsid w:val="008F5F56"/>
    <w:rsid w:val="008F70BB"/>
    <w:rsid w:val="00902134"/>
    <w:rsid w:val="00902713"/>
    <w:rsid w:val="009063E1"/>
    <w:rsid w:val="00907F14"/>
    <w:rsid w:val="0091048E"/>
    <w:rsid w:val="00913723"/>
    <w:rsid w:val="00913786"/>
    <w:rsid w:val="00914F29"/>
    <w:rsid w:val="00915AAE"/>
    <w:rsid w:val="00916A7E"/>
    <w:rsid w:val="009172A3"/>
    <w:rsid w:val="009176C7"/>
    <w:rsid w:val="00922209"/>
    <w:rsid w:val="00922422"/>
    <w:rsid w:val="009244FF"/>
    <w:rsid w:val="00925765"/>
    <w:rsid w:val="00926110"/>
    <w:rsid w:val="00926CAC"/>
    <w:rsid w:val="009270D1"/>
    <w:rsid w:val="00933F68"/>
    <w:rsid w:val="009357DA"/>
    <w:rsid w:val="0094383B"/>
    <w:rsid w:val="00943D30"/>
    <w:rsid w:val="00944318"/>
    <w:rsid w:val="00945018"/>
    <w:rsid w:val="009472A3"/>
    <w:rsid w:val="00947FAD"/>
    <w:rsid w:val="00951396"/>
    <w:rsid w:val="00951F82"/>
    <w:rsid w:val="009555BE"/>
    <w:rsid w:val="009619E9"/>
    <w:rsid w:val="009641A6"/>
    <w:rsid w:val="009656E0"/>
    <w:rsid w:val="009661D9"/>
    <w:rsid w:val="009670B7"/>
    <w:rsid w:val="0097108D"/>
    <w:rsid w:val="00971119"/>
    <w:rsid w:val="0097118B"/>
    <w:rsid w:val="00971650"/>
    <w:rsid w:val="0097204D"/>
    <w:rsid w:val="00973563"/>
    <w:rsid w:val="00973C66"/>
    <w:rsid w:val="0097413F"/>
    <w:rsid w:val="00975861"/>
    <w:rsid w:val="009776B0"/>
    <w:rsid w:val="00993C33"/>
    <w:rsid w:val="009944A8"/>
    <w:rsid w:val="009978DB"/>
    <w:rsid w:val="00997D1A"/>
    <w:rsid w:val="009A208C"/>
    <w:rsid w:val="009A2EFF"/>
    <w:rsid w:val="009A42BF"/>
    <w:rsid w:val="009A4F5D"/>
    <w:rsid w:val="009B0FC8"/>
    <w:rsid w:val="009B42AF"/>
    <w:rsid w:val="009B57E1"/>
    <w:rsid w:val="009B5878"/>
    <w:rsid w:val="009B5E37"/>
    <w:rsid w:val="009B6870"/>
    <w:rsid w:val="009B68D7"/>
    <w:rsid w:val="009C719E"/>
    <w:rsid w:val="009D00B5"/>
    <w:rsid w:val="009D356D"/>
    <w:rsid w:val="009D4218"/>
    <w:rsid w:val="009D4706"/>
    <w:rsid w:val="009D7D7B"/>
    <w:rsid w:val="009E0939"/>
    <w:rsid w:val="009E2FA1"/>
    <w:rsid w:val="009E3259"/>
    <w:rsid w:val="009E43E8"/>
    <w:rsid w:val="009E60F4"/>
    <w:rsid w:val="009E6F04"/>
    <w:rsid w:val="009E7435"/>
    <w:rsid w:val="009E781D"/>
    <w:rsid w:val="009F1527"/>
    <w:rsid w:val="009F1D35"/>
    <w:rsid w:val="009F5E7F"/>
    <w:rsid w:val="00A0273F"/>
    <w:rsid w:val="00A02ABB"/>
    <w:rsid w:val="00A1415A"/>
    <w:rsid w:val="00A17749"/>
    <w:rsid w:val="00A20412"/>
    <w:rsid w:val="00A20443"/>
    <w:rsid w:val="00A21907"/>
    <w:rsid w:val="00A247DF"/>
    <w:rsid w:val="00A27308"/>
    <w:rsid w:val="00A309D7"/>
    <w:rsid w:val="00A31BF6"/>
    <w:rsid w:val="00A32C2D"/>
    <w:rsid w:val="00A338B1"/>
    <w:rsid w:val="00A354F0"/>
    <w:rsid w:val="00A35EE1"/>
    <w:rsid w:val="00A37833"/>
    <w:rsid w:val="00A4046C"/>
    <w:rsid w:val="00A405EE"/>
    <w:rsid w:val="00A41B06"/>
    <w:rsid w:val="00A454F7"/>
    <w:rsid w:val="00A45F9A"/>
    <w:rsid w:val="00A50872"/>
    <w:rsid w:val="00A52052"/>
    <w:rsid w:val="00A528E3"/>
    <w:rsid w:val="00A53C61"/>
    <w:rsid w:val="00A57D5D"/>
    <w:rsid w:val="00A600D5"/>
    <w:rsid w:val="00A61A04"/>
    <w:rsid w:val="00A64315"/>
    <w:rsid w:val="00A65F30"/>
    <w:rsid w:val="00A83868"/>
    <w:rsid w:val="00A847B8"/>
    <w:rsid w:val="00A86EE9"/>
    <w:rsid w:val="00A87964"/>
    <w:rsid w:val="00A87E2A"/>
    <w:rsid w:val="00A87FFC"/>
    <w:rsid w:val="00A90821"/>
    <w:rsid w:val="00A9272C"/>
    <w:rsid w:val="00A92D4C"/>
    <w:rsid w:val="00A95779"/>
    <w:rsid w:val="00A962F1"/>
    <w:rsid w:val="00AA1BE9"/>
    <w:rsid w:val="00AA57E5"/>
    <w:rsid w:val="00AA5E52"/>
    <w:rsid w:val="00AA6CAC"/>
    <w:rsid w:val="00AB0330"/>
    <w:rsid w:val="00AB1D3C"/>
    <w:rsid w:val="00AB36B8"/>
    <w:rsid w:val="00AB3A19"/>
    <w:rsid w:val="00AB3AAF"/>
    <w:rsid w:val="00AB579F"/>
    <w:rsid w:val="00AC04B8"/>
    <w:rsid w:val="00AD093F"/>
    <w:rsid w:val="00AD2028"/>
    <w:rsid w:val="00AD20D3"/>
    <w:rsid w:val="00AD2DD7"/>
    <w:rsid w:val="00AD5086"/>
    <w:rsid w:val="00AD5C75"/>
    <w:rsid w:val="00AD6952"/>
    <w:rsid w:val="00AE0906"/>
    <w:rsid w:val="00AE2E47"/>
    <w:rsid w:val="00AE4114"/>
    <w:rsid w:val="00AE6A53"/>
    <w:rsid w:val="00AF01CE"/>
    <w:rsid w:val="00AF092F"/>
    <w:rsid w:val="00AF0A1D"/>
    <w:rsid w:val="00AF0CED"/>
    <w:rsid w:val="00AF1229"/>
    <w:rsid w:val="00AF2E31"/>
    <w:rsid w:val="00AF5F67"/>
    <w:rsid w:val="00AF6E28"/>
    <w:rsid w:val="00AF720A"/>
    <w:rsid w:val="00B024DA"/>
    <w:rsid w:val="00B02761"/>
    <w:rsid w:val="00B02AB4"/>
    <w:rsid w:val="00B039C7"/>
    <w:rsid w:val="00B03A30"/>
    <w:rsid w:val="00B04A54"/>
    <w:rsid w:val="00B05588"/>
    <w:rsid w:val="00B14514"/>
    <w:rsid w:val="00B15CCA"/>
    <w:rsid w:val="00B21E8F"/>
    <w:rsid w:val="00B258B6"/>
    <w:rsid w:val="00B26431"/>
    <w:rsid w:val="00B26A3F"/>
    <w:rsid w:val="00B313A7"/>
    <w:rsid w:val="00B3556D"/>
    <w:rsid w:val="00B408A5"/>
    <w:rsid w:val="00B40A3F"/>
    <w:rsid w:val="00B40BFB"/>
    <w:rsid w:val="00B42966"/>
    <w:rsid w:val="00B44598"/>
    <w:rsid w:val="00B4623B"/>
    <w:rsid w:val="00B46754"/>
    <w:rsid w:val="00B50BFF"/>
    <w:rsid w:val="00B57DA5"/>
    <w:rsid w:val="00B608DF"/>
    <w:rsid w:val="00B633EC"/>
    <w:rsid w:val="00B650E4"/>
    <w:rsid w:val="00B657CD"/>
    <w:rsid w:val="00B66E23"/>
    <w:rsid w:val="00B72674"/>
    <w:rsid w:val="00B72A9D"/>
    <w:rsid w:val="00B737B9"/>
    <w:rsid w:val="00B77D7E"/>
    <w:rsid w:val="00B8167D"/>
    <w:rsid w:val="00B82452"/>
    <w:rsid w:val="00B866EF"/>
    <w:rsid w:val="00B87109"/>
    <w:rsid w:val="00B919E6"/>
    <w:rsid w:val="00B91B47"/>
    <w:rsid w:val="00B91E18"/>
    <w:rsid w:val="00B92E52"/>
    <w:rsid w:val="00B92FDE"/>
    <w:rsid w:val="00B94A9A"/>
    <w:rsid w:val="00B978FF"/>
    <w:rsid w:val="00BA0F70"/>
    <w:rsid w:val="00BA151E"/>
    <w:rsid w:val="00BA3D3E"/>
    <w:rsid w:val="00BA50E3"/>
    <w:rsid w:val="00BA5A6A"/>
    <w:rsid w:val="00BB1F33"/>
    <w:rsid w:val="00BB389C"/>
    <w:rsid w:val="00BB3BB0"/>
    <w:rsid w:val="00BB4CE3"/>
    <w:rsid w:val="00BB64C1"/>
    <w:rsid w:val="00BC1469"/>
    <w:rsid w:val="00BC27C7"/>
    <w:rsid w:val="00BC3448"/>
    <w:rsid w:val="00BC46E0"/>
    <w:rsid w:val="00BC68B2"/>
    <w:rsid w:val="00BC6CBD"/>
    <w:rsid w:val="00BC7BC0"/>
    <w:rsid w:val="00BD0F04"/>
    <w:rsid w:val="00BD2B43"/>
    <w:rsid w:val="00BD3A87"/>
    <w:rsid w:val="00BD48B4"/>
    <w:rsid w:val="00BE150A"/>
    <w:rsid w:val="00BE1F2C"/>
    <w:rsid w:val="00BE7EF8"/>
    <w:rsid w:val="00BF0D6B"/>
    <w:rsid w:val="00BF24D2"/>
    <w:rsid w:val="00BF47FD"/>
    <w:rsid w:val="00BF63BF"/>
    <w:rsid w:val="00BF6730"/>
    <w:rsid w:val="00BF7198"/>
    <w:rsid w:val="00C01D45"/>
    <w:rsid w:val="00C029A6"/>
    <w:rsid w:val="00C050B4"/>
    <w:rsid w:val="00C07BE0"/>
    <w:rsid w:val="00C10A23"/>
    <w:rsid w:val="00C123DA"/>
    <w:rsid w:val="00C141F6"/>
    <w:rsid w:val="00C14D98"/>
    <w:rsid w:val="00C14DDC"/>
    <w:rsid w:val="00C15F4B"/>
    <w:rsid w:val="00C31CE5"/>
    <w:rsid w:val="00C36471"/>
    <w:rsid w:val="00C406DE"/>
    <w:rsid w:val="00C430BF"/>
    <w:rsid w:val="00C44A28"/>
    <w:rsid w:val="00C451A3"/>
    <w:rsid w:val="00C460C4"/>
    <w:rsid w:val="00C46E33"/>
    <w:rsid w:val="00C4789E"/>
    <w:rsid w:val="00C50992"/>
    <w:rsid w:val="00C52190"/>
    <w:rsid w:val="00C528EC"/>
    <w:rsid w:val="00C53C9F"/>
    <w:rsid w:val="00C542EE"/>
    <w:rsid w:val="00C5531E"/>
    <w:rsid w:val="00C55376"/>
    <w:rsid w:val="00C5544C"/>
    <w:rsid w:val="00C57631"/>
    <w:rsid w:val="00C57D3F"/>
    <w:rsid w:val="00C60830"/>
    <w:rsid w:val="00C61198"/>
    <w:rsid w:val="00C625F0"/>
    <w:rsid w:val="00C64D9C"/>
    <w:rsid w:val="00C64E9D"/>
    <w:rsid w:val="00C64EBD"/>
    <w:rsid w:val="00C66F60"/>
    <w:rsid w:val="00C66F93"/>
    <w:rsid w:val="00C677CD"/>
    <w:rsid w:val="00C71814"/>
    <w:rsid w:val="00C726F8"/>
    <w:rsid w:val="00C72D8E"/>
    <w:rsid w:val="00C77E6D"/>
    <w:rsid w:val="00C77EE5"/>
    <w:rsid w:val="00C80F60"/>
    <w:rsid w:val="00C81CAB"/>
    <w:rsid w:val="00C81EA3"/>
    <w:rsid w:val="00C82303"/>
    <w:rsid w:val="00C838BF"/>
    <w:rsid w:val="00C85AAF"/>
    <w:rsid w:val="00C86DF6"/>
    <w:rsid w:val="00C8766F"/>
    <w:rsid w:val="00C879F8"/>
    <w:rsid w:val="00C9064A"/>
    <w:rsid w:val="00C91224"/>
    <w:rsid w:val="00C92FF6"/>
    <w:rsid w:val="00C943EC"/>
    <w:rsid w:val="00C94E0D"/>
    <w:rsid w:val="00C965FF"/>
    <w:rsid w:val="00C96B21"/>
    <w:rsid w:val="00CA0632"/>
    <w:rsid w:val="00CA06E3"/>
    <w:rsid w:val="00CA0CD5"/>
    <w:rsid w:val="00CA68BF"/>
    <w:rsid w:val="00CA70EB"/>
    <w:rsid w:val="00CB0C05"/>
    <w:rsid w:val="00CB1537"/>
    <w:rsid w:val="00CB3AB3"/>
    <w:rsid w:val="00CB5B07"/>
    <w:rsid w:val="00CC32EA"/>
    <w:rsid w:val="00CC49AB"/>
    <w:rsid w:val="00CC7C1E"/>
    <w:rsid w:val="00CD02D7"/>
    <w:rsid w:val="00CD0E74"/>
    <w:rsid w:val="00CD7AA5"/>
    <w:rsid w:val="00CE3EC3"/>
    <w:rsid w:val="00CE4159"/>
    <w:rsid w:val="00CE6363"/>
    <w:rsid w:val="00CE670A"/>
    <w:rsid w:val="00CE7107"/>
    <w:rsid w:val="00CE72B3"/>
    <w:rsid w:val="00CF1597"/>
    <w:rsid w:val="00CF423B"/>
    <w:rsid w:val="00CF42DA"/>
    <w:rsid w:val="00CF6FD1"/>
    <w:rsid w:val="00CF7FF2"/>
    <w:rsid w:val="00D0303B"/>
    <w:rsid w:val="00D046D9"/>
    <w:rsid w:val="00D04C57"/>
    <w:rsid w:val="00D05E98"/>
    <w:rsid w:val="00D114C6"/>
    <w:rsid w:val="00D12668"/>
    <w:rsid w:val="00D127EB"/>
    <w:rsid w:val="00D17916"/>
    <w:rsid w:val="00D17AD5"/>
    <w:rsid w:val="00D230CD"/>
    <w:rsid w:val="00D23E62"/>
    <w:rsid w:val="00D27823"/>
    <w:rsid w:val="00D30CA4"/>
    <w:rsid w:val="00D3110A"/>
    <w:rsid w:val="00D31DD9"/>
    <w:rsid w:val="00D32F6E"/>
    <w:rsid w:val="00D33564"/>
    <w:rsid w:val="00D361C6"/>
    <w:rsid w:val="00D371C5"/>
    <w:rsid w:val="00D37FC6"/>
    <w:rsid w:val="00D43B86"/>
    <w:rsid w:val="00D43F5D"/>
    <w:rsid w:val="00D47D96"/>
    <w:rsid w:val="00D50A90"/>
    <w:rsid w:val="00D50D91"/>
    <w:rsid w:val="00D5168C"/>
    <w:rsid w:val="00D53950"/>
    <w:rsid w:val="00D6155B"/>
    <w:rsid w:val="00D617D1"/>
    <w:rsid w:val="00D651A1"/>
    <w:rsid w:val="00D659DC"/>
    <w:rsid w:val="00D65C75"/>
    <w:rsid w:val="00D67D29"/>
    <w:rsid w:val="00D702C8"/>
    <w:rsid w:val="00D70CA8"/>
    <w:rsid w:val="00D71CED"/>
    <w:rsid w:val="00D80BE2"/>
    <w:rsid w:val="00D81138"/>
    <w:rsid w:val="00D8166F"/>
    <w:rsid w:val="00D81F5A"/>
    <w:rsid w:val="00D83E95"/>
    <w:rsid w:val="00D84302"/>
    <w:rsid w:val="00D84817"/>
    <w:rsid w:val="00D8571A"/>
    <w:rsid w:val="00D86436"/>
    <w:rsid w:val="00D87514"/>
    <w:rsid w:val="00D90B00"/>
    <w:rsid w:val="00D91AA7"/>
    <w:rsid w:val="00D932B2"/>
    <w:rsid w:val="00D9441E"/>
    <w:rsid w:val="00D94958"/>
    <w:rsid w:val="00D94A33"/>
    <w:rsid w:val="00D963AE"/>
    <w:rsid w:val="00D965C6"/>
    <w:rsid w:val="00DA125F"/>
    <w:rsid w:val="00DA1B2E"/>
    <w:rsid w:val="00DA2D2F"/>
    <w:rsid w:val="00DA50FB"/>
    <w:rsid w:val="00DA5A41"/>
    <w:rsid w:val="00DA5DDF"/>
    <w:rsid w:val="00DA6BCA"/>
    <w:rsid w:val="00DB0CDD"/>
    <w:rsid w:val="00DB799D"/>
    <w:rsid w:val="00DC0944"/>
    <w:rsid w:val="00DC1469"/>
    <w:rsid w:val="00DC262F"/>
    <w:rsid w:val="00DC3A49"/>
    <w:rsid w:val="00DD14A3"/>
    <w:rsid w:val="00DD3A79"/>
    <w:rsid w:val="00DD52A1"/>
    <w:rsid w:val="00DD5B18"/>
    <w:rsid w:val="00DD5EC4"/>
    <w:rsid w:val="00DD62B4"/>
    <w:rsid w:val="00DE4E45"/>
    <w:rsid w:val="00DE612D"/>
    <w:rsid w:val="00DE6EF6"/>
    <w:rsid w:val="00DE7AD1"/>
    <w:rsid w:val="00DF050D"/>
    <w:rsid w:val="00DF3A43"/>
    <w:rsid w:val="00DF4A71"/>
    <w:rsid w:val="00DF5294"/>
    <w:rsid w:val="00E01235"/>
    <w:rsid w:val="00E014D3"/>
    <w:rsid w:val="00E01CBB"/>
    <w:rsid w:val="00E02C82"/>
    <w:rsid w:val="00E0357D"/>
    <w:rsid w:val="00E1273E"/>
    <w:rsid w:val="00E130AB"/>
    <w:rsid w:val="00E13C9D"/>
    <w:rsid w:val="00E16AF5"/>
    <w:rsid w:val="00E20B16"/>
    <w:rsid w:val="00E219E0"/>
    <w:rsid w:val="00E22286"/>
    <w:rsid w:val="00E22E30"/>
    <w:rsid w:val="00E248D6"/>
    <w:rsid w:val="00E43D47"/>
    <w:rsid w:val="00E447D2"/>
    <w:rsid w:val="00E4573A"/>
    <w:rsid w:val="00E46275"/>
    <w:rsid w:val="00E47788"/>
    <w:rsid w:val="00E541D8"/>
    <w:rsid w:val="00E572DB"/>
    <w:rsid w:val="00E613F4"/>
    <w:rsid w:val="00E619D0"/>
    <w:rsid w:val="00E61E0C"/>
    <w:rsid w:val="00E62DE4"/>
    <w:rsid w:val="00E63E15"/>
    <w:rsid w:val="00E701F5"/>
    <w:rsid w:val="00E70675"/>
    <w:rsid w:val="00E70997"/>
    <w:rsid w:val="00E71768"/>
    <w:rsid w:val="00E71F2C"/>
    <w:rsid w:val="00E7300E"/>
    <w:rsid w:val="00E779D1"/>
    <w:rsid w:val="00E80F46"/>
    <w:rsid w:val="00E852AD"/>
    <w:rsid w:val="00E85933"/>
    <w:rsid w:val="00E86518"/>
    <w:rsid w:val="00E93119"/>
    <w:rsid w:val="00E948B0"/>
    <w:rsid w:val="00E94A1A"/>
    <w:rsid w:val="00E9626D"/>
    <w:rsid w:val="00EA2BF3"/>
    <w:rsid w:val="00EA31CB"/>
    <w:rsid w:val="00EA34C5"/>
    <w:rsid w:val="00EA4A6F"/>
    <w:rsid w:val="00EA7A7E"/>
    <w:rsid w:val="00EB1BC0"/>
    <w:rsid w:val="00EB274D"/>
    <w:rsid w:val="00EB2C19"/>
    <w:rsid w:val="00EB4648"/>
    <w:rsid w:val="00EB4A2C"/>
    <w:rsid w:val="00EC1C0A"/>
    <w:rsid w:val="00EC2899"/>
    <w:rsid w:val="00EC394C"/>
    <w:rsid w:val="00EC760A"/>
    <w:rsid w:val="00ED24E0"/>
    <w:rsid w:val="00ED437D"/>
    <w:rsid w:val="00ED5E18"/>
    <w:rsid w:val="00ED659F"/>
    <w:rsid w:val="00EE02FA"/>
    <w:rsid w:val="00EE5A36"/>
    <w:rsid w:val="00EE5F54"/>
    <w:rsid w:val="00EE6A07"/>
    <w:rsid w:val="00EF1915"/>
    <w:rsid w:val="00EF7B42"/>
    <w:rsid w:val="00F0018A"/>
    <w:rsid w:val="00F00AF4"/>
    <w:rsid w:val="00F044E8"/>
    <w:rsid w:val="00F04902"/>
    <w:rsid w:val="00F04B21"/>
    <w:rsid w:val="00F058B9"/>
    <w:rsid w:val="00F07C84"/>
    <w:rsid w:val="00F109D1"/>
    <w:rsid w:val="00F10E38"/>
    <w:rsid w:val="00F11378"/>
    <w:rsid w:val="00F12414"/>
    <w:rsid w:val="00F142F3"/>
    <w:rsid w:val="00F154FE"/>
    <w:rsid w:val="00F15970"/>
    <w:rsid w:val="00F221E7"/>
    <w:rsid w:val="00F25734"/>
    <w:rsid w:val="00F26F76"/>
    <w:rsid w:val="00F3041E"/>
    <w:rsid w:val="00F34629"/>
    <w:rsid w:val="00F36A87"/>
    <w:rsid w:val="00F36FD5"/>
    <w:rsid w:val="00F4234F"/>
    <w:rsid w:val="00F42BAB"/>
    <w:rsid w:val="00F463A6"/>
    <w:rsid w:val="00F46B13"/>
    <w:rsid w:val="00F52E53"/>
    <w:rsid w:val="00F5645C"/>
    <w:rsid w:val="00F56A8E"/>
    <w:rsid w:val="00F57F73"/>
    <w:rsid w:val="00F608ED"/>
    <w:rsid w:val="00F64E0A"/>
    <w:rsid w:val="00F65AF6"/>
    <w:rsid w:val="00F6607E"/>
    <w:rsid w:val="00F66460"/>
    <w:rsid w:val="00F70341"/>
    <w:rsid w:val="00F70C51"/>
    <w:rsid w:val="00F7375D"/>
    <w:rsid w:val="00F74217"/>
    <w:rsid w:val="00F75021"/>
    <w:rsid w:val="00F80F33"/>
    <w:rsid w:val="00F82E33"/>
    <w:rsid w:val="00F841F9"/>
    <w:rsid w:val="00F91D9B"/>
    <w:rsid w:val="00F97816"/>
    <w:rsid w:val="00F97B2B"/>
    <w:rsid w:val="00FA164C"/>
    <w:rsid w:val="00FA18EB"/>
    <w:rsid w:val="00FA1990"/>
    <w:rsid w:val="00FA33F1"/>
    <w:rsid w:val="00FA5041"/>
    <w:rsid w:val="00FA5276"/>
    <w:rsid w:val="00FB20D4"/>
    <w:rsid w:val="00FB5B79"/>
    <w:rsid w:val="00FB73D4"/>
    <w:rsid w:val="00FC130B"/>
    <w:rsid w:val="00FC1D77"/>
    <w:rsid w:val="00FC2F7A"/>
    <w:rsid w:val="00FC3757"/>
    <w:rsid w:val="00FC4D20"/>
    <w:rsid w:val="00FC5038"/>
    <w:rsid w:val="00FC5505"/>
    <w:rsid w:val="00FC5D14"/>
    <w:rsid w:val="00FC6376"/>
    <w:rsid w:val="00FD0D36"/>
    <w:rsid w:val="00FD0FCA"/>
    <w:rsid w:val="00FD75DE"/>
    <w:rsid w:val="00FE07F3"/>
    <w:rsid w:val="00FE17BF"/>
    <w:rsid w:val="00FE2769"/>
    <w:rsid w:val="00FE5203"/>
    <w:rsid w:val="00FE6628"/>
    <w:rsid w:val="00FE66ED"/>
    <w:rsid w:val="00FE76E1"/>
    <w:rsid w:val="00FF0D36"/>
    <w:rsid w:val="00FF0F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0BF4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DC"/>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DC"/>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t>
        <a:bodyPr/>
        <a:lstStyle/>
        <a:p>
          <a:endParaRPr lang="en-GB"/>
        </a:p>
      </dgm:t>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t>
        <a:bodyPr/>
        <a:lstStyle/>
        <a:p>
          <a:endParaRPr lang="en-GB"/>
        </a:p>
      </dgm:t>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t>
        <a:bodyPr/>
        <a:lstStyle/>
        <a:p>
          <a:endParaRPr lang="en-GB"/>
        </a:p>
      </dgm:t>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t>
        <a:bodyPr/>
        <a:lstStyle/>
        <a:p>
          <a:endParaRPr lang="en-GB"/>
        </a:p>
      </dgm:t>
    </dgm:pt>
  </dgm:ptLst>
  <dgm:cxnLst>
    <dgm:cxn modelId="{95677C81-F721-41DE-B0F9-498F616EC11E}" srcId="{CB7FE235-B59D-4D20-89F3-8A95C27B4D9F}" destId="{F72E6844-EA85-4ADB-8AE5-7D48B69B8AD9}" srcOrd="3" destOrd="0" parTransId="{25C3478C-892D-457E-9455-6911D02A167B}" sibTransId="{7EB2C557-C6A0-42B8-8BB6-954EB9A41119}"/>
    <dgm:cxn modelId="{69EB7768-6B3D-4701-9F45-8FF298B758E0}" type="presOf" srcId="{2C096509-6A34-4FE5-B163-810957772B85}" destId="{98E158BD-4ED9-4C52-8E91-D3A1D0AD6381}"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CA902BC3-8003-4C54-848C-9EDBAFA4EE8A}" type="presOf" srcId="{CB7FE235-B59D-4D20-89F3-8A95C27B4D9F}" destId="{84796A7E-FC5F-4AF9-8640-1B2B848792A5}"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7F08DC9E-8AB5-4F3B-8457-088970442516}" srcId="{CB7FE235-B59D-4D20-89F3-8A95C27B4D9F}" destId="{80B83DE8-BD52-4D8D-BE74-FB629842D1B3}" srcOrd="2" destOrd="0" parTransId="{5CBD381E-23B9-4AF1-B05F-294F9ADD0540}" sibTransId="{01D2CABE-5B83-41FA-B602-88FCC91DA662}"/>
    <dgm:cxn modelId="{FCCA5304-48CE-491B-9AA9-3A8752919D90}" type="presOf" srcId="{80B83DE8-BD52-4D8D-BE74-FB629842D1B3}" destId="{BF78A061-0E29-4DAD-9E99-510FFCFA0874}" srcOrd="0" destOrd="0" presId="urn:diagrams.loki3.com/VaryingWidthList+Icon"/>
    <dgm:cxn modelId="{4ED07BCD-E494-4947-9193-DC6FF7A8F887}" type="presOf" srcId="{F72E6844-EA85-4ADB-8AE5-7D48B69B8AD9}" destId="{C4DAC81A-360E-4D77-AFB5-C90930B93770}" srcOrd="0" destOrd="0" presId="urn:diagrams.loki3.com/VaryingWidthList+Icon"/>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53720-CDDC-4477-A601-377478A8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McNeill</dc:creator>
  <cp:lastModifiedBy>McLean El (Elaine)</cp:lastModifiedBy>
  <cp:revision>3</cp:revision>
  <cp:lastPrinted>2017-02-20T10:59:00Z</cp:lastPrinted>
  <dcterms:created xsi:type="dcterms:W3CDTF">2017-04-06T08:21:00Z</dcterms:created>
  <dcterms:modified xsi:type="dcterms:W3CDTF">2017-04-06T08:23:00Z</dcterms:modified>
</cp:coreProperties>
</file>